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4FDE" w14:textId="1FFABBC9" w:rsidR="000C790B" w:rsidRPr="00B52B89" w:rsidRDefault="000C790B" w:rsidP="000C790B">
      <w:pPr>
        <w:spacing w:before="360"/>
        <w:jc w:val="center"/>
        <w:rPr>
          <w:noProof/>
          <w:highlight w:val="yellow"/>
          <w:lang w:val="en-GB"/>
        </w:rPr>
      </w:pPr>
    </w:p>
    <w:p w14:paraId="7102C491" w14:textId="77777777" w:rsidR="00BA3C30" w:rsidRPr="00B52B89" w:rsidRDefault="00BA3C30" w:rsidP="000C790B">
      <w:pPr>
        <w:spacing w:before="360"/>
        <w:jc w:val="center"/>
        <w:rPr>
          <w:noProof/>
          <w:highlight w:val="yellow"/>
          <w:lang w:val="en-GB"/>
        </w:rPr>
      </w:pPr>
    </w:p>
    <w:p w14:paraId="20AEDFA5" w14:textId="3A11CDA0" w:rsidR="000C790B" w:rsidRPr="00B52B89" w:rsidRDefault="000C790B" w:rsidP="009D34E8">
      <w:pPr>
        <w:spacing w:before="360"/>
        <w:jc w:val="center"/>
        <w:rPr>
          <w:noProof/>
          <w:sz w:val="24"/>
          <w:szCs w:val="24"/>
          <w:lang w:val="en-GB"/>
        </w:rPr>
      </w:pPr>
      <w:r w:rsidRPr="00B52B89">
        <w:rPr>
          <w:noProof/>
          <w:highlight w:val="yellow"/>
          <w:lang w:val="en-GB" w:eastAsia="en-GB"/>
        </w:rPr>
        <w:drawing>
          <wp:anchor distT="0" distB="0" distL="114300" distR="114300" simplePos="0" relativeHeight="251617280" behindDoc="1" locked="0" layoutInCell="1" allowOverlap="1" wp14:anchorId="7C778E84" wp14:editId="11A3661A">
            <wp:simplePos x="0" y="0"/>
            <wp:positionH relativeFrom="column">
              <wp:posOffset>2462530</wp:posOffset>
            </wp:positionH>
            <wp:positionV relativeFrom="paragraph">
              <wp:posOffset>-509270</wp:posOffset>
            </wp:positionV>
            <wp:extent cx="687070" cy="457200"/>
            <wp:effectExtent l="0" t="0" r="0" b="0"/>
            <wp:wrapTight wrapText="bothSides">
              <wp:wrapPolygon edited="0">
                <wp:start x="0" y="0"/>
                <wp:lineTo x="0" y="20700"/>
                <wp:lineTo x="20961" y="20700"/>
                <wp:lineTo x="20961" y="0"/>
                <wp:lineTo x="0" y="0"/>
              </wp:wrapPolygon>
            </wp:wrapTight>
            <wp:docPr id="19" name="Grafik 18"/>
            <wp:cNvGraphicFramePr/>
            <a:graphic xmlns:a="http://schemas.openxmlformats.org/drawingml/2006/main">
              <a:graphicData uri="http://schemas.openxmlformats.org/drawingml/2006/picture">
                <pic:pic xmlns:pic="http://schemas.openxmlformats.org/drawingml/2006/picture">
                  <pic:nvPicPr>
                    <pic:cNvPr id="19" name="Grafik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page">
              <wp14:pctWidth>0</wp14:pctWidth>
            </wp14:sizeRelH>
            <wp14:sizeRelV relativeFrom="page">
              <wp14:pctHeight>0</wp14:pctHeight>
            </wp14:sizeRelV>
          </wp:anchor>
        </w:drawing>
      </w:r>
      <w:r w:rsidR="002E4E7A" w:rsidRPr="00B52B89">
        <w:rPr>
          <w:noProof/>
          <w:lang w:val="en-GB"/>
        </w:rPr>
        <w:drawing>
          <wp:inline distT="0" distB="0" distL="0" distR="0" wp14:anchorId="075FCDEC" wp14:editId="016B9C46">
            <wp:extent cx="1866900" cy="1123950"/>
            <wp:effectExtent l="0" t="0" r="0" b="0"/>
            <wp:docPr id="2" name="Picture 1">
              <a:extLst xmlns:a="http://schemas.openxmlformats.org/drawingml/2006/main">
                <a:ext uri="{FF2B5EF4-FFF2-40B4-BE49-F238E27FC236}">
                  <a16:creationId xmlns:a16="http://schemas.microsoft.com/office/drawing/2014/main" id="{C0E1A21D-7E0A-437E-9C35-3C70D89C7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E1A21D-7E0A-437E-9C35-3C70D89C7B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a:xfrm>
                      <a:off x="0" y="0"/>
                      <a:ext cx="1866900" cy="1123950"/>
                    </a:xfrm>
                    <a:prstGeom prst="rect">
                      <a:avLst/>
                    </a:prstGeom>
                  </pic:spPr>
                </pic:pic>
              </a:graphicData>
            </a:graphic>
          </wp:inline>
        </w:drawing>
      </w:r>
      <w:r w:rsidRPr="00B52B89">
        <w:rPr>
          <w:noProof/>
          <w:lang w:val="en-GB"/>
        </w:rPr>
        <w:br/>
      </w:r>
    </w:p>
    <w:p w14:paraId="2CF3AC70" w14:textId="6DB93142" w:rsidR="002C5B80" w:rsidRPr="00B52B89" w:rsidRDefault="004D2D44" w:rsidP="002C5B80">
      <w:pPr>
        <w:tabs>
          <w:tab w:val="left" w:pos="2280"/>
        </w:tabs>
        <w:jc w:val="center"/>
        <w:rPr>
          <w:rFonts w:ascii="Century Gothic" w:hAnsi="Century Gothic"/>
          <w:color w:val="0070C0"/>
          <w:sz w:val="44"/>
          <w:szCs w:val="44"/>
          <w:lang w:val="en-GB"/>
        </w:rPr>
      </w:pPr>
      <w:r w:rsidRPr="00B52B89">
        <w:rPr>
          <w:color w:val="0070C0"/>
          <w:sz w:val="44"/>
          <w:szCs w:val="44"/>
          <w:lang w:val="en-GB"/>
        </w:rPr>
        <w:t>D</w:t>
      </w:r>
      <w:r w:rsidR="0074188D" w:rsidRPr="00B52B89">
        <w:rPr>
          <w:color w:val="0070C0"/>
          <w:sz w:val="44"/>
          <w:szCs w:val="44"/>
          <w:lang w:val="en-GB"/>
        </w:rPr>
        <w:t>10</w:t>
      </w:r>
      <w:r w:rsidRPr="00B52B89">
        <w:rPr>
          <w:color w:val="0070C0"/>
          <w:sz w:val="44"/>
          <w:szCs w:val="44"/>
          <w:lang w:val="en-GB"/>
        </w:rPr>
        <w:t>.</w:t>
      </w:r>
      <w:r w:rsidR="00583B18" w:rsidRPr="00B52B89">
        <w:rPr>
          <w:color w:val="0070C0"/>
          <w:sz w:val="44"/>
          <w:szCs w:val="44"/>
          <w:lang w:val="en-GB"/>
        </w:rPr>
        <w:t>5</w:t>
      </w:r>
      <w:r w:rsidRPr="00B52B89">
        <w:rPr>
          <w:color w:val="0070C0"/>
          <w:sz w:val="44"/>
          <w:szCs w:val="44"/>
          <w:lang w:val="en-GB"/>
        </w:rPr>
        <w:t xml:space="preserve"> </w:t>
      </w:r>
      <w:r w:rsidR="00583B18" w:rsidRPr="00B52B89">
        <w:rPr>
          <w:color w:val="0070C0"/>
          <w:sz w:val="44"/>
          <w:szCs w:val="44"/>
          <w:lang w:val="en-GB"/>
        </w:rPr>
        <w:t>GEN</w:t>
      </w:r>
      <w:r w:rsidR="00827F73" w:rsidRPr="00B52B89">
        <w:rPr>
          <w:color w:val="0070C0"/>
          <w:sz w:val="44"/>
          <w:szCs w:val="44"/>
          <w:lang w:val="en-GB"/>
        </w:rPr>
        <w:t xml:space="preserve"> Requirement n°</w:t>
      </w:r>
      <w:r w:rsidR="00583B18" w:rsidRPr="00B52B89">
        <w:rPr>
          <w:color w:val="0070C0"/>
          <w:sz w:val="44"/>
          <w:szCs w:val="44"/>
          <w:lang w:val="en-GB"/>
        </w:rPr>
        <w:t>5</w:t>
      </w:r>
      <w:r w:rsidR="00827F73" w:rsidRPr="00B52B89">
        <w:rPr>
          <w:color w:val="0070C0"/>
          <w:sz w:val="44"/>
          <w:szCs w:val="44"/>
          <w:lang w:val="en-GB"/>
        </w:rPr>
        <w:t xml:space="preserve"> – </w:t>
      </w:r>
      <w:r w:rsidR="00583B18" w:rsidRPr="00B52B89">
        <w:rPr>
          <w:color w:val="0070C0"/>
          <w:sz w:val="44"/>
          <w:szCs w:val="44"/>
          <w:lang w:val="en-GB"/>
        </w:rPr>
        <w:t>Periodic report by the Ethics Advisor</w:t>
      </w:r>
    </w:p>
    <w:tbl>
      <w:tblPr>
        <w:tblStyle w:val="ARIsincabecera"/>
        <w:tblpPr w:leftFromText="141" w:rightFromText="141" w:vertAnchor="text" w:horzAnchor="margin" w:tblpY="360"/>
        <w:tblW w:w="9180" w:type="dxa"/>
        <w:tblLayout w:type="fixed"/>
        <w:tblLook w:val="0600" w:firstRow="0" w:lastRow="0" w:firstColumn="0" w:lastColumn="0" w:noHBand="1" w:noVBand="1"/>
      </w:tblPr>
      <w:tblGrid>
        <w:gridCol w:w="2122"/>
        <w:gridCol w:w="2097"/>
        <w:gridCol w:w="2425"/>
        <w:gridCol w:w="2536"/>
      </w:tblGrid>
      <w:tr w:rsidR="000C790B" w:rsidRPr="00B52B89" w14:paraId="080173F6" w14:textId="77777777" w:rsidTr="002F7D8B">
        <w:trPr>
          <w:trHeight w:val="58"/>
        </w:trPr>
        <w:tc>
          <w:tcPr>
            <w:tcW w:w="9180" w:type="dxa"/>
            <w:gridSpan w:val="4"/>
            <w:shd w:val="clear" w:color="auto" w:fill="2185C5"/>
          </w:tcPr>
          <w:p w14:paraId="2E518253" w14:textId="77777777" w:rsidR="000C790B" w:rsidRPr="00B52B89" w:rsidRDefault="000C790B" w:rsidP="00B643FC">
            <w:pPr>
              <w:pStyle w:val="Table-Text-negrita"/>
              <w:framePr w:hSpace="0" w:wrap="auto" w:vAnchor="margin" w:hAnchor="text" w:yAlign="inline"/>
              <w:spacing w:after="20"/>
              <w:rPr>
                <w:rFonts w:asciiTheme="minorHAnsi" w:hAnsiTheme="minorHAnsi"/>
                <w:lang w:val="en-GB"/>
              </w:rPr>
            </w:pPr>
            <w:r w:rsidRPr="00B52B89">
              <w:rPr>
                <w:rFonts w:asciiTheme="minorHAnsi" w:hAnsiTheme="minorHAnsi"/>
                <w:color w:val="FFFFFF" w:themeColor="background1"/>
                <w:lang w:val="en-GB"/>
              </w:rPr>
              <w:t>Document Identification</w:t>
            </w:r>
          </w:p>
        </w:tc>
      </w:tr>
      <w:tr w:rsidR="000C790B" w:rsidRPr="00B52B89" w14:paraId="12DF80EB" w14:textId="77777777" w:rsidTr="002F7D8B">
        <w:trPr>
          <w:trHeight w:val="58"/>
        </w:trPr>
        <w:tc>
          <w:tcPr>
            <w:tcW w:w="2122" w:type="dxa"/>
            <w:shd w:val="clear" w:color="auto" w:fill="2185C5"/>
          </w:tcPr>
          <w:p w14:paraId="3ACA549F"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Status</w:t>
            </w:r>
          </w:p>
        </w:tc>
        <w:tc>
          <w:tcPr>
            <w:tcW w:w="2097" w:type="dxa"/>
          </w:tcPr>
          <w:p w14:paraId="7F1D30B3" w14:textId="3F9A37C9" w:rsidR="000C790B" w:rsidRPr="00B52B89" w:rsidRDefault="004D6CF5" w:rsidP="00B643FC">
            <w:pPr>
              <w:pStyle w:val="Table-Text"/>
              <w:spacing w:after="20"/>
              <w:rPr>
                <w:rFonts w:asciiTheme="minorHAnsi" w:hAnsiTheme="minorHAnsi"/>
                <w:lang w:val="en-GB"/>
              </w:rPr>
            </w:pPr>
            <w:r>
              <w:rPr>
                <w:rStyle w:val="Style1"/>
                <w:sz w:val="22"/>
                <w:lang w:val="en-GB"/>
              </w:rPr>
              <w:t>Final</w:t>
            </w:r>
          </w:p>
        </w:tc>
        <w:tc>
          <w:tcPr>
            <w:tcW w:w="2425" w:type="dxa"/>
            <w:shd w:val="clear" w:color="auto" w:fill="2185C5"/>
          </w:tcPr>
          <w:p w14:paraId="1DE2342C"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Due Date</w:t>
            </w:r>
          </w:p>
        </w:tc>
        <w:sdt>
          <w:sdtPr>
            <w:rPr>
              <w:rStyle w:val="Style1"/>
              <w:sz w:val="22"/>
              <w:lang w:val="en-GB"/>
            </w:rPr>
            <w:alias w:val="Due Date"/>
            <w:tag w:val="Due Date"/>
            <w:id w:val="1003475983"/>
            <w:date w:fullDate="2020-12-31T00:00:00Z">
              <w:dateFormat w:val="dd/MM/yyyy"/>
              <w:lid w:val="es-ES"/>
              <w:storeMappedDataAs w:val="dateTime"/>
              <w:calendar w:val="gregorian"/>
            </w:date>
          </w:sdtPr>
          <w:sdtEndPr>
            <w:rPr>
              <w:rStyle w:val="Standaardalinea-lettertype"/>
              <w:rFonts w:ascii="Times New Roman" w:hAnsi="Times New Roman"/>
              <w:sz w:val="20"/>
            </w:rPr>
          </w:sdtEndPr>
          <w:sdtContent>
            <w:tc>
              <w:tcPr>
                <w:tcW w:w="2536" w:type="dxa"/>
              </w:tcPr>
              <w:p w14:paraId="09F83A41" w14:textId="455B5445" w:rsidR="000C790B" w:rsidRPr="00B52B89" w:rsidRDefault="00583B18" w:rsidP="00B643FC">
                <w:pPr>
                  <w:pStyle w:val="Table-Text"/>
                  <w:spacing w:after="20"/>
                  <w:rPr>
                    <w:rFonts w:asciiTheme="minorHAnsi" w:hAnsiTheme="minorHAnsi"/>
                    <w:lang w:val="en-GB"/>
                  </w:rPr>
                </w:pPr>
                <w:r w:rsidRPr="00B52B89">
                  <w:rPr>
                    <w:rStyle w:val="Style1"/>
                    <w:sz w:val="22"/>
                    <w:lang w:val="en-GB"/>
                  </w:rPr>
                  <w:t>31/12/2020</w:t>
                </w:r>
              </w:p>
            </w:tc>
          </w:sdtContent>
        </w:sdt>
      </w:tr>
      <w:tr w:rsidR="000C790B" w:rsidRPr="00B52B89" w14:paraId="379C80E2" w14:textId="77777777" w:rsidTr="002F7D8B">
        <w:trPr>
          <w:trHeight w:val="58"/>
        </w:trPr>
        <w:tc>
          <w:tcPr>
            <w:tcW w:w="2122" w:type="dxa"/>
            <w:shd w:val="clear" w:color="auto" w:fill="2185C5"/>
          </w:tcPr>
          <w:p w14:paraId="23617EC8"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Version</w:t>
            </w:r>
          </w:p>
        </w:tc>
        <w:tc>
          <w:tcPr>
            <w:tcW w:w="2097" w:type="dxa"/>
          </w:tcPr>
          <w:p w14:paraId="6E49761A" w14:textId="5C92E6C0" w:rsidR="000C790B" w:rsidRPr="00B52B89" w:rsidRDefault="004D6CF5" w:rsidP="00B643FC">
            <w:pPr>
              <w:pStyle w:val="Table-Text"/>
              <w:spacing w:after="20"/>
              <w:rPr>
                <w:rFonts w:asciiTheme="minorHAnsi" w:hAnsiTheme="minorHAnsi"/>
                <w:lang w:val="en-GB"/>
              </w:rPr>
            </w:pPr>
            <w:r>
              <w:rPr>
                <w:rStyle w:val="Style1"/>
              </w:rPr>
              <w:t>1</w:t>
            </w:r>
            <w:r w:rsidR="00FD3BD9">
              <w:rPr>
                <w:rStyle w:val="Style1"/>
              </w:rPr>
              <w:t>.</w:t>
            </w:r>
            <w:r>
              <w:rPr>
                <w:rStyle w:val="Style1"/>
              </w:rPr>
              <w:t>0</w:t>
            </w:r>
          </w:p>
        </w:tc>
        <w:tc>
          <w:tcPr>
            <w:tcW w:w="2425" w:type="dxa"/>
            <w:shd w:val="clear" w:color="auto" w:fill="2185C5"/>
          </w:tcPr>
          <w:p w14:paraId="1344AD2C"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Submission Date</w:t>
            </w:r>
          </w:p>
        </w:tc>
        <w:bookmarkStart w:id="0" w:name="_Toc59118117" w:displacedByCustomXml="next"/>
        <w:sdt>
          <w:sdtPr>
            <w:rPr>
              <w:rStyle w:val="Kop1Char"/>
              <w:rFonts w:asciiTheme="minorHAnsi" w:hAnsiTheme="minorHAnsi" w:cs="Calibri"/>
              <w:color w:val="5C2A59" w:themeColor="text1"/>
              <w:sz w:val="20"/>
              <w:lang w:val="en-GB"/>
            </w:rPr>
            <w:alias w:val="Submission Date"/>
            <w:tag w:val="Submission Date"/>
            <w:id w:val="-920713401"/>
            <w:date w:fullDate="2020-12-18T00:00:00Z">
              <w:dateFormat w:val="dd/MM/yyyy"/>
              <w:lid w:val="es-ES"/>
              <w:storeMappedDataAs w:val="dateTime"/>
              <w:calendar w:val="gregorian"/>
            </w:date>
          </w:sdtPr>
          <w:sdtEndPr>
            <w:rPr>
              <w:rStyle w:val="Kop1Char"/>
            </w:rPr>
          </w:sdtEndPr>
          <w:sdtContent>
            <w:tc>
              <w:tcPr>
                <w:tcW w:w="2536" w:type="dxa"/>
              </w:tcPr>
              <w:p w14:paraId="4CB42FD9" w14:textId="5B614472" w:rsidR="000C790B" w:rsidRPr="00B52B89" w:rsidRDefault="00EE2591" w:rsidP="00B643FC">
                <w:pPr>
                  <w:pStyle w:val="Table-Text"/>
                  <w:spacing w:after="20"/>
                  <w:rPr>
                    <w:rFonts w:asciiTheme="minorHAnsi" w:hAnsiTheme="minorHAnsi"/>
                    <w:lang w:val="en-GB"/>
                  </w:rPr>
                </w:pPr>
                <w:r>
                  <w:rPr>
                    <w:rStyle w:val="Kop1Char"/>
                    <w:rFonts w:asciiTheme="minorHAnsi" w:hAnsiTheme="minorHAnsi" w:cs="Calibri"/>
                    <w:color w:val="5C2A59" w:themeColor="text1"/>
                    <w:sz w:val="20"/>
                    <w:lang w:val="en-GB"/>
                  </w:rPr>
                  <w:t>18/12/2020</w:t>
                </w:r>
              </w:p>
            </w:tc>
          </w:sdtContent>
        </w:sdt>
        <w:bookmarkEnd w:id="0" w:displacedByCustomXml="prev"/>
      </w:tr>
    </w:tbl>
    <w:p w14:paraId="0A092AE8" w14:textId="77777777" w:rsidR="000C790B" w:rsidRPr="00B52B89" w:rsidRDefault="000C790B" w:rsidP="00DD0522">
      <w:pPr>
        <w:tabs>
          <w:tab w:val="left" w:pos="2835"/>
        </w:tabs>
        <w:spacing w:after="0"/>
        <w:rPr>
          <w:b/>
          <w:sz w:val="16"/>
          <w:szCs w:val="16"/>
          <w:lang w:val="en-GB"/>
        </w:rPr>
      </w:pPr>
    </w:p>
    <w:p w14:paraId="1CBFC0BA" w14:textId="77777777" w:rsidR="000C790B" w:rsidRPr="00B52B89" w:rsidRDefault="000C790B" w:rsidP="00DD0522">
      <w:pPr>
        <w:tabs>
          <w:tab w:val="left" w:pos="2835"/>
        </w:tabs>
        <w:spacing w:after="0"/>
        <w:rPr>
          <w:b/>
          <w:sz w:val="14"/>
          <w:szCs w:val="14"/>
          <w:lang w:val="en-GB"/>
        </w:rPr>
      </w:pPr>
    </w:p>
    <w:tbl>
      <w:tblPr>
        <w:tblStyle w:val="ARIsincabecera"/>
        <w:tblpPr w:leftFromText="180" w:rightFromText="180" w:vertAnchor="text" w:horzAnchor="margin" w:tblpY="243"/>
        <w:tblW w:w="9180" w:type="dxa"/>
        <w:tblLook w:val="0600" w:firstRow="0" w:lastRow="0" w:firstColumn="0" w:lastColumn="0" w:noHBand="1" w:noVBand="1"/>
      </w:tblPr>
      <w:tblGrid>
        <w:gridCol w:w="2079"/>
        <w:gridCol w:w="2140"/>
        <w:gridCol w:w="2439"/>
        <w:gridCol w:w="2522"/>
      </w:tblGrid>
      <w:tr w:rsidR="000C790B" w:rsidRPr="00B52B89" w14:paraId="1BBA2C34" w14:textId="77777777" w:rsidTr="002F7D8B">
        <w:trPr>
          <w:trHeight w:val="20"/>
        </w:trPr>
        <w:tc>
          <w:tcPr>
            <w:tcW w:w="0" w:type="auto"/>
            <w:tcBorders>
              <w:bottom w:val="single" w:sz="4" w:space="0" w:color="0066A1"/>
            </w:tcBorders>
            <w:shd w:val="clear" w:color="auto" w:fill="2185C5"/>
          </w:tcPr>
          <w:p w14:paraId="03516D20"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Related WP</w:t>
            </w:r>
          </w:p>
        </w:tc>
        <w:tc>
          <w:tcPr>
            <w:tcW w:w="2140" w:type="dxa"/>
          </w:tcPr>
          <w:p w14:paraId="65D41806" w14:textId="294C746D" w:rsidR="000C790B" w:rsidRPr="00B52B89" w:rsidRDefault="00CF0A04" w:rsidP="00B643FC">
            <w:pPr>
              <w:pStyle w:val="Table-Text"/>
              <w:spacing w:after="20"/>
              <w:rPr>
                <w:rFonts w:asciiTheme="minorHAnsi" w:hAnsiTheme="minorHAnsi"/>
                <w:bCs/>
                <w:lang w:val="en-GB"/>
              </w:rPr>
            </w:pPr>
            <w:r w:rsidRPr="00B52B89">
              <w:rPr>
                <w:rStyle w:val="Style1"/>
                <w:lang w:val="en-GB"/>
              </w:rPr>
              <w:t>WP</w:t>
            </w:r>
            <w:r w:rsidR="00AF593E" w:rsidRPr="00B52B89">
              <w:rPr>
                <w:rStyle w:val="Style1"/>
                <w:lang w:val="en-GB"/>
              </w:rPr>
              <w:t>10</w:t>
            </w:r>
          </w:p>
        </w:tc>
        <w:tc>
          <w:tcPr>
            <w:tcW w:w="2439" w:type="dxa"/>
            <w:tcBorders>
              <w:bottom w:val="single" w:sz="4" w:space="0" w:color="0066A1"/>
            </w:tcBorders>
            <w:shd w:val="clear" w:color="auto" w:fill="2185C5"/>
          </w:tcPr>
          <w:p w14:paraId="14AA8F40" w14:textId="77777777" w:rsidR="000C790B" w:rsidRPr="00B52B89" w:rsidRDefault="000C790B" w:rsidP="00B643F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Document Reference</w:t>
            </w:r>
          </w:p>
        </w:tc>
        <w:tc>
          <w:tcPr>
            <w:tcW w:w="2522" w:type="dxa"/>
          </w:tcPr>
          <w:p w14:paraId="6E465866" w14:textId="723E30E6" w:rsidR="000C790B" w:rsidRPr="00B52B89" w:rsidRDefault="00091573" w:rsidP="00B643FC">
            <w:pPr>
              <w:pStyle w:val="Table-Text"/>
              <w:spacing w:after="20"/>
              <w:rPr>
                <w:rFonts w:asciiTheme="minorHAnsi" w:hAnsiTheme="minorHAnsi"/>
                <w:bCs/>
                <w:lang w:val="en-GB"/>
              </w:rPr>
            </w:pPr>
            <w:r w:rsidRPr="00B52B89">
              <w:rPr>
                <w:rStyle w:val="Style1"/>
                <w:lang w:val="en-GB"/>
              </w:rPr>
              <w:t>D</w:t>
            </w:r>
            <w:r w:rsidR="00AF593E" w:rsidRPr="00B52B89">
              <w:rPr>
                <w:rStyle w:val="Style1"/>
                <w:lang w:val="en-GB"/>
              </w:rPr>
              <w:t>10</w:t>
            </w:r>
            <w:r w:rsidR="00906035" w:rsidRPr="00B52B89">
              <w:rPr>
                <w:rStyle w:val="Style1"/>
                <w:lang w:val="en-GB"/>
              </w:rPr>
              <w:t>.</w:t>
            </w:r>
            <w:r w:rsidR="00583B18" w:rsidRPr="00B52B89">
              <w:rPr>
                <w:rStyle w:val="Style1"/>
                <w:lang w:val="en-GB"/>
              </w:rPr>
              <w:t>5</w:t>
            </w:r>
          </w:p>
        </w:tc>
      </w:tr>
      <w:tr w:rsidR="00DD6120" w:rsidRPr="00B52B89" w14:paraId="02951524" w14:textId="77777777" w:rsidTr="002F7D8B">
        <w:trPr>
          <w:trHeight w:val="20"/>
        </w:trPr>
        <w:tc>
          <w:tcPr>
            <w:tcW w:w="0" w:type="auto"/>
            <w:shd w:val="clear" w:color="auto" w:fill="2185C5"/>
          </w:tcPr>
          <w:p w14:paraId="503E9723" w14:textId="77777777" w:rsidR="00DD6120" w:rsidRPr="00B52B89" w:rsidRDefault="00DD6120" w:rsidP="00DD6120">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Related Deliverable(s)</w:t>
            </w:r>
          </w:p>
        </w:tc>
        <w:tc>
          <w:tcPr>
            <w:tcW w:w="2140" w:type="dxa"/>
          </w:tcPr>
          <w:p w14:paraId="0C39082A" w14:textId="5C7C0263" w:rsidR="00DD6120" w:rsidRPr="00B52B89" w:rsidRDefault="00DD6120" w:rsidP="00DD6120">
            <w:pPr>
              <w:pStyle w:val="Table-Text"/>
              <w:spacing w:after="20"/>
              <w:rPr>
                <w:rFonts w:asciiTheme="minorHAnsi" w:hAnsiTheme="minorHAnsi"/>
                <w:lang w:val="en-GB"/>
              </w:rPr>
            </w:pPr>
            <w:r w:rsidRPr="00B52B89">
              <w:rPr>
                <w:rFonts w:asciiTheme="minorHAnsi" w:hAnsiTheme="minorHAnsi"/>
                <w:lang w:val="en-GB"/>
              </w:rPr>
              <w:t>WP4, WP7, WP8, WP9</w:t>
            </w:r>
          </w:p>
        </w:tc>
        <w:tc>
          <w:tcPr>
            <w:tcW w:w="2439" w:type="dxa"/>
            <w:shd w:val="clear" w:color="auto" w:fill="2185C5"/>
          </w:tcPr>
          <w:p w14:paraId="02FADCB2" w14:textId="77777777" w:rsidR="00DD6120" w:rsidRPr="00B52B89" w:rsidRDefault="00DD6120" w:rsidP="00DD6120">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Dissemination Level (*)</w:t>
            </w:r>
          </w:p>
        </w:tc>
        <w:tc>
          <w:tcPr>
            <w:tcW w:w="2522" w:type="dxa"/>
          </w:tcPr>
          <w:p w14:paraId="6CF15D4C" w14:textId="75A89E53" w:rsidR="00DD6120" w:rsidRPr="00B52B89" w:rsidRDefault="00DD6120" w:rsidP="00DD6120">
            <w:pPr>
              <w:pStyle w:val="Table-Text"/>
              <w:spacing w:after="20"/>
              <w:rPr>
                <w:rFonts w:asciiTheme="minorHAnsi" w:hAnsiTheme="minorHAnsi"/>
                <w:bCs/>
                <w:lang w:val="en-GB"/>
              </w:rPr>
            </w:pPr>
            <w:r w:rsidRPr="00B52B89">
              <w:rPr>
                <w:rStyle w:val="Style1"/>
                <w:lang w:val="en-GB"/>
              </w:rPr>
              <w:t>CO</w:t>
            </w:r>
          </w:p>
        </w:tc>
      </w:tr>
      <w:tr w:rsidR="00A5514C" w:rsidRPr="00B52B89" w14:paraId="66D7DDD8" w14:textId="77777777" w:rsidTr="002F7D8B">
        <w:trPr>
          <w:trHeight w:val="20"/>
        </w:trPr>
        <w:tc>
          <w:tcPr>
            <w:tcW w:w="0" w:type="auto"/>
            <w:shd w:val="clear" w:color="auto" w:fill="2185C5"/>
          </w:tcPr>
          <w:p w14:paraId="2C58B91B" w14:textId="77777777" w:rsidR="00A5514C" w:rsidRPr="00B52B89" w:rsidRDefault="00A5514C" w:rsidP="00A5514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Lead Participant</w:t>
            </w:r>
          </w:p>
        </w:tc>
        <w:tc>
          <w:tcPr>
            <w:tcW w:w="2140" w:type="dxa"/>
          </w:tcPr>
          <w:p w14:paraId="62C20F09" w14:textId="3DB4BFD7" w:rsidR="00A5514C" w:rsidRPr="00B52B89" w:rsidRDefault="00A5514C" w:rsidP="00A5514C">
            <w:pPr>
              <w:pStyle w:val="Table-Text"/>
              <w:spacing w:after="20"/>
              <w:rPr>
                <w:rFonts w:asciiTheme="minorHAnsi" w:hAnsiTheme="minorHAnsi"/>
                <w:lang w:val="en-GB"/>
              </w:rPr>
            </w:pPr>
            <w:r w:rsidRPr="00B52B89">
              <w:rPr>
                <w:rFonts w:asciiTheme="majorHAnsi" w:hAnsiTheme="majorHAnsi" w:cstheme="majorHAnsi"/>
                <w:lang w:val="en-GB"/>
              </w:rPr>
              <w:t>TLX</w:t>
            </w:r>
          </w:p>
        </w:tc>
        <w:tc>
          <w:tcPr>
            <w:tcW w:w="2439" w:type="dxa"/>
            <w:shd w:val="clear" w:color="auto" w:fill="2185C5"/>
          </w:tcPr>
          <w:p w14:paraId="49C7AF06" w14:textId="77777777" w:rsidR="00A5514C" w:rsidRPr="00B52B89" w:rsidRDefault="00A5514C" w:rsidP="00A5514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Lead Author</w:t>
            </w:r>
          </w:p>
        </w:tc>
        <w:tc>
          <w:tcPr>
            <w:tcW w:w="2522" w:type="dxa"/>
          </w:tcPr>
          <w:p w14:paraId="0C926275" w14:textId="1D38E7DE" w:rsidR="00A5514C" w:rsidRPr="00B52B89" w:rsidRDefault="00583B18" w:rsidP="00A5514C">
            <w:pPr>
              <w:pStyle w:val="Table-Text"/>
              <w:spacing w:after="20"/>
              <w:rPr>
                <w:rFonts w:asciiTheme="minorHAnsi" w:hAnsiTheme="minorHAnsi"/>
                <w:bCs/>
                <w:lang w:val="en-GB"/>
              </w:rPr>
            </w:pPr>
            <w:r w:rsidRPr="00B52B89">
              <w:rPr>
                <w:rFonts w:asciiTheme="majorHAnsi" w:hAnsiTheme="majorHAnsi" w:cstheme="majorHAnsi"/>
                <w:lang w:val="en-GB"/>
              </w:rPr>
              <w:t>Ruben Roex (TLX)</w:t>
            </w:r>
          </w:p>
        </w:tc>
      </w:tr>
      <w:tr w:rsidR="00A5514C" w:rsidRPr="00B52B89" w14:paraId="7E208A47" w14:textId="77777777" w:rsidTr="002F7D8B">
        <w:trPr>
          <w:trHeight w:val="344"/>
        </w:trPr>
        <w:tc>
          <w:tcPr>
            <w:tcW w:w="0" w:type="auto"/>
            <w:vMerge w:val="restart"/>
            <w:shd w:val="clear" w:color="auto" w:fill="2185C5"/>
          </w:tcPr>
          <w:p w14:paraId="0266A248" w14:textId="77777777" w:rsidR="00A5514C" w:rsidRPr="00B52B89" w:rsidRDefault="00A5514C" w:rsidP="00A5514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Contributors</w:t>
            </w:r>
          </w:p>
        </w:tc>
        <w:tc>
          <w:tcPr>
            <w:tcW w:w="2140" w:type="dxa"/>
            <w:vMerge w:val="restart"/>
          </w:tcPr>
          <w:p w14:paraId="73BE66CB" w14:textId="5A305E3D" w:rsidR="00A5514C" w:rsidRPr="00B52B89" w:rsidRDefault="00A5514C" w:rsidP="00A5514C">
            <w:pPr>
              <w:pStyle w:val="Table-Text"/>
              <w:spacing w:after="20"/>
              <w:rPr>
                <w:rFonts w:asciiTheme="minorHAnsi" w:hAnsiTheme="minorHAnsi"/>
                <w:lang w:val="en-GB"/>
              </w:rPr>
            </w:pPr>
            <w:r w:rsidRPr="00B52B89">
              <w:rPr>
                <w:rFonts w:asciiTheme="majorHAnsi" w:hAnsiTheme="majorHAnsi" w:cstheme="majorHAnsi"/>
                <w:lang w:val="en-GB"/>
              </w:rPr>
              <w:t>TLX</w:t>
            </w:r>
            <w:r w:rsidRPr="00B52B89">
              <w:rPr>
                <w:rFonts w:asciiTheme="minorHAnsi" w:hAnsiTheme="minorHAnsi"/>
                <w:lang w:val="en-GB"/>
              </w:rPr>
              <w:t xml:space="preserve"> </w:t>
            </w:r>
          </w:p>
        </w:tc>
        <w:tc>
          <w:tcPr>
            <w:tcW w:w="2439" w:type="dxa"/>
            <w:vMerge w:val="restart"/>
            <w:shd w:val="clear" w:color="auto" w:fill="2185C5"/>
          </w:tcPr>
          <w:p w14:paraId="6A7A6A5C" w14:textId="77777777" w:rsidR="00A5514C" w:rsidRPr="00B52B89" w:rsidRDefault="00A5514C" w:rsidP="00A5514C">
            <w:pPr>
              <w:pStyle w:val="Table-Text-negrita"/>
              <w:framePr w:hSpace="0" w:wrap="auto" w:vAnchor="margin" w:hAnchor="text" w:yAlign="inline"/>
              <w:spacing w:after="20"/>
              <w:rPr>
                <w:rFonts w:asciiTheme="minorHAnsi" w:hAnsiTheme="minorHAnsi"/>
                <w:color w:val="FFFFFF" w:themeColor="background1"/>
                <w:lang w:val="en-GB"/>
              </w:rPr>
            </w:pPr>
            <w:r w:rsidRPr="00B52B89">
              <w:rPr>
                <w:rFonts w:asciiTheme="minorHAnsi" w:hAnsiTheme="minorHAnsi"/>
                <w:color w:val="FFFFFF" w:themeColor="background1"/>
                <w:lang w:val="en-GB"/>
              </w:rPr>
              <w:t>Reviewers</w:t>
            </w:r>
          </w:p>
        </w:tc>
        <w:tc>
          <w:tcPr>
            <w:tcW w:w="2522" w:type="dxa"/>
          </w:tcPr>
          <w:p w14:paraId="754F4BEC" w14:textId="707F6257" w:rsidR="00A5514C" w:rsidRPr="00B52B89" w:rsidRDefault="00A5514C" w:rsidP="00A5514C">
            <w:pPr>
              <w:pStyle w:val="Table-Text"/>
              <w:spacing w:after="20"/>
              <w:rPr>
                <w:rFonts w:asciiTheme="minorHAnsi" w:hAnsiTheme="minorHAnsi"/>
                <w:bCs/>
                <w:lang w:val="en-GB"/>
              </w:rPr>
            </w:pPr>
            <w:r w:rsidRPr="00B52B89">
              <w:rPr>
                <w:rFonts w:asciiTheme="minorHAnsi" w:hAnsiTheme="minorHAnsi"/>
                <w:lang w:val="en-GB"/>
              </w:rPr>
              <w:t>Name (</w:t>
            </w:r>
            <w:proofErr w:type="spellStart"/>
            <w:r w:rsidRPr="00B52B89">
              <w:rPr>
                <w:rFonts w:asciiTheme="minorHAnsi" w:hAnsiTheme="minorHAnsi"/>
                <w:lang w:val="en-GB"/>
              </w:rPr>
              <w:t>PartnerName</w:t>
            </w:r>
            <w:proofErr w:type="spellEnd"/>
            <w:r w:rsidRPr="00B52B89">
              <w:rPr>
                <w:rFonts w:asciiTheme="minorHAnsi" w:hAnsiTheme="minorHAnsi"/>
                <w:lang w:val="en-GB"/>
              </w:rPr>
              <w:t>);</w:t>
            </w:r>
          </w:p>
        </w:tc>
      </w:tr>
      <w:tr w:rsidR="00A5514C" w:rsidRPr="00B52B89" w14:paraId="550A2A2B" w14:textId="77777777" w:rsidTr="002F7D8B">
        <w:trPr>
          <w:trHeight w:val="641"/>
        </w:trPr>
        <w:tc>
          <w:tcPr>
            <w:tcW w:w="0" w:type="auto"/>
            <w:vMerge/>
            <w:shd w:val="clear" w:color="auto" w:fill="2185C5"/>
          </w:tcPr>
          <w:p w14:paraId="4165B536" w14:textId="77777777" w:rsidR="00A5514C" w:rsidRPr="00B52B89" w:rsidRDefault="00A5514C" w:rsidP="00A5514C">
            <w:pPr>
              <w:pStyle w:val="Table-Text"/>
              <w:spacing w:after="20"/>
              <w:rPr>
                <w:rFonts w:asciiTheme="minorHAnsi" w:hAnsiTheme="minorHAnsi"/>
                <w:lang w:val="en-GB"/>
              </w:rPr>
            </w:pPr>
          </w:p>
        </w:tc>
        <w:tc>
          <w:tcPr>
            <w:tcW w:w="2140" w:type="dxa"/>
            <w:vMerge/>
          </w:tcPr>
          <w:p w14:paraId="75E5B659" w14:textId="77777777" w:rsidR="00A5514C" w:rsidRPr="00B52B89" w:rsidRDefault="00A5514C" w:rsidP="00A5514C">
            <w:pPr>
              <w:pStyle w:val="Table-Text"/>
              <w:spacing w:after="20"/>
              <w:rPr>
                <w:rFonts w:asciiTheme="minorHAnsi" w:hAnsiTheme="minorHAnsi"/>
                <w:lang w:val="en-GB"/>
              </w:rPr>
            </w:pPr>
          </w:p>
        </w:tc>
        <w:tc>
          <w:tcPr>
            <w:tcW w:w="2439" w:type="dxa"/>
            <w:vMerge/>
            <w:shd w:val="clear" w:color="auto" w:fill="2185C5"/>
          </w:tcPr>
          <w:p w14:paraId="08917D74" w14:textId="77777777" w:rsidR="00A5514C" w:rsidRPr="00B52B89" w:rsidRDefault="00A5514C" w:rsidP="00A5514C">
            <w:pPr>
              <w:pStyle w:val="Table-Text"/>
              <w:spacing w:after="20"/>
              <w:rPr>
                <w:rFonts w:asciiTheme="minorHAnsi" w:hAnsiTheme="minorHAnsi"/>
                <w:lang w:val="en-GB"/>
              </w:rPr>
            </w:pPr>
          </w:p>
        </w:tc>
        <w:tc>
          <w:tcPr>
            <w:tcW w:w="2522" w:type="dxa"/>
          </w:tcPr>
          <w:p w14:paraId="61EC9485" w14:textId="77777777" w:rsidR="00A5514C" w:rsidRPr="00B52B89" w:rsidRDefault="00A5514C" w:rsidP="00A5514C">
            <w:pPr>
              <w:pStyle w:val="Table-Text"/>
              <w:spacing w:after="20"/>
              <w:rPr>
                <w:rFonts w:asciiTheme="minorHAnsi" w:hAnsiTheme="minorHAnsi"/>
                <w:lang w:val="en-GB"/>
              </w:rPr>
            </w:pPr>
            <w:r w:rsidRPr="00B52B89">
              <w:rPr>
                <w:rFonts w:asciiTheme="minorHAnsi" w:hAnsiTheme="minorHAnsi"/>
                <w:lang w:val="en-GB"/>
              </w:rPr>
              <w:t>Name (</w:t>
            </w:r>
            <w:proofErr w:type="spellStart"/>
            <w:r w:rsidRPr="00B52B89">
              <w:rPr>
                <w:rFonts w:asciiTheme="minorHAnsi" w:hAnsiTheme="minorHAnsi"/>
                <w:lang w:val="en-GB"/>
              </w:rPr>
              <w:t>PartnerName</w:t>
            </w:r>
            <w:proofErr w:type="spellEnd"/>
            <w:r w:rsidRPr="00B52B89">
              <w:rPr>
                <w:rFonts w:asciiTheme="minorHAnsi" w:hAnsiTheme="minorHAnsi"/>
                <w:lang w:val="en-GB"/>
              </w:rPr>
              <w:t xml:space="preserve">); </w:t>
            </w:r>
          </w:p>
          <w:p w14:paraId="50868E33" w14:textId="57F6157E" w:rsidR="00A5514C" w:rsidRPr="00B52B89" w:rsidRDefault="00A5514C" w:rsidP="00A5514C">
            <w:pPr>
              <w:pStyle w:val="Table-Text"/>
              <w:spacing w:after="20"/>
              <w:rPr>
                <w:rFonts w:asciiTheme="minorHAnsi" w:hAnsiTheme="minorHAnsi"/>
                <w:bCs/>
                <w:lang w:val="en-GB"/>
              </w:rPr>
            </w:pPr>
          </w:p>
        </w:tc>
      </w:tr>
    </w:tbl>
    <w:p w14:paraId="0200A631" w14:textId="77777777" w:rsidR="000C790B" w:rsidRPr="00B52B89" w:rsidRDefault="000C790B" w:rsidP="00DD0522">
      <w:pPr>
        <w:tabs>
          <w:tab w:val="left" w:pos="2835"/>
        </w:tabs>
        <w:spacing w:after="0"/>
        <w:rPr>
          <w:b/>
          <w:sz w:val="20"/>
          <w:szCs w:val="20"/>
          <w:lang w:val="en-GB"/>
        </w:rPr>
      </w:pPr>
    </w:p>
    <w:tbl>
      <w:tblPr>
        <w:tblStyle w:val="ARIsincabecera"/>
        <w:tblpPr w:leftFromText="141" w:rightFromText="141" w:vertAnchor="text" w:horzAnchor="margin" w:tblpY="191"/>
        <w:tblW w:w="9130" w:type="dxa"/>
        <w:tblLayout w:type="fixed"/>
        <w:tblLook w:val="01E0" w:firstRow="1" w:lastRow="1" w:firstColumn="1" w:lastColumn="1" w:noHBand="0" w:noVBand="0"/>
      </w:tblPr>
      <w:tblGrid>
        <w:gridCol w:w="9130"/>
      </w:tblGrid>
      <w:tr w:rsidR="00DD0522" w:rsidRPr="00B52B89" w14:paraId="0C829EA8" w14:textId="77777777" w:rsidTr="009D34E8">
        <w:trPr>
          <w:cnfStyle w:val="100000000000" w:firstRow="1" w:lastRow="0" w:firstColumn="0" w:lastColumn="0" w:oddVBand="0" w:evenVBand="0" w:oddHBand="0" w:evenHBand="0" w:firstRowFirstColumn="0" w:firstRowLastColumn="0" w:lastRowFirstColumn="0" w:lastRowLastColumn="0"/>
        </w:trPr>
        <w:tc>
          <w:tcPr>
            <w:tcW w:w="9130" w:type="dxa"/>
            <w:shd w:val="clear" w:color="auto" w:fill="2185C5"/>
          </w:tcPr>
          <w:p w14:paraId="667408CD" w14:textId="2F40CE98" w:rsidR="00DD0522" w:rsidRPr="00B52B89" w:rsidRDefault="009D34E8" w:rsidP="00B643FC">
            <w:pPr>
              <w:pStyle w:val="Table-Text"/>
              <w:spacing w:after="20"/>
              <w:rPr>
                <w:rFonts w:asciiTheme="minorHAnsi" w:hAnsiTheme="minorHAnsi"/>
                <w:b/>
                <w:lang w:val="en-GB"/>
              </w:rPr>
            </w:pPr>
            <w:r w:rsidRPr="00B52B89">
              <w:rPr>
                <w:rFonts w:asciiTheme="minorHAnsi" w:hAnsiTheme="minorHAnsi"/>
                <w:b/>
                <w:color w:val="FFFFFF" w:themeColor="background1"/>
                <w:lang w:val="en-GB"/>
              </w:rPr>
              <w:t>Keywords :</w:t>
            </w:r>
          </w:p>
        </w:tc>
      </w:tr>
      <w:tr w:rsidR="00DD0522" w:rsidRPr="0030369C" w14:paraId="39AA42A9" w14:textId="77777777" w:rsidTr="00DD0522">
        <w:trPr>
          <w:trHeight w:val="238"/>
        </w:trPr>
        <w:tc>
          <w:tcPr>
            <w:tcW w:w="9130" w:type="dxa"/>
          </w:tcPr>
          <w:p w14:paraId="0A0D4204" w14:textId="3C4D5CDE" w:rsidR="00906035" w:rsidRPr="00B52B89" w:rsidRDefault="00960344" w:rsidP="00B643FC">
            <w:pPr>
              <w:pStyle w:val="Table-Text"/>
              <w:spacing w:after="20"/>
              <w:rPr>
                <w:rFonts w:asciiTheme="minorHAnsi" w:hAnsiTheme="minorHAnsi"/>
                <w:lang w:val="en-GB"/>
              </w:rPr>
            </w:pPr>
            <w:r w:rsidRPr="00B52B89">
              <w:rPr>
                <w:rFonts w:asciiTheme="minorHAnsi" w:hAnsiTheme="minorHAnsi"/>
                <w:lang w:val="en-GB"/>
              </w:rPr>
              <w:t>Ethics, management, piloting, data protection</w:t>
            </w:r>
          </w:p>
        </w:tc>
      </w:tr>
    </w:tbl>
    <w:p w14:paraId="43822A28" w14:textId="5B4807B2" w:rsidR="00D12DA3" w:rsidRPr="00B52B89" w:rsidRDefault="00D12DA3" w:rsidP="00D12DA3">
      <w:pPr>
        <w:pStyle w:val="Titel"/>
        <w:rPr>
          <w:lang w:val="en-GB"/>
        </w:rPr>
      </w:pPr>
      <w:bookmarkStart w:id="1" w:name="_Toc59118118"/>
      <w:r w:rsidRPr="00B52B89">
        <w:rPr>
          <w:lang w:val="en-GB"/>
        </w:rPr>
        <w:lastRenderedPageBreak/>
        <w:t>Documen</w:t>
      </w:r>
      <w:r w:rsidR="00054E37" w:rsidRPr="00B52B89">
        <w:rPr>
          <w:lang w:val="en-GB"/>
        </w:rPr>
        <w:t>t</w:t>
      </w:r>
      <w:r w:rsidRPr="00B52B89">
        <w:rPr>
          <w:lang w:val="en-GB"/>
        </w:rPr>
        <w:t xml:space="preserve"> Information</w:t>
      </w:r>
      <w:bookmarkEnd w:id="1"/>
    </w:p>
    <w:tbl>
      <w:tblPr>
        <w:tblStyle w:val="ARI1"/>
        <w:tblW w:w="0" w:type="auto"/>
        <w:tblLook w:val="04A0" w:firstRow="1" w:lastRow="0" w:firstColumn="1" w:lastColumn="0" w:noHBand="0" w:noVBand="1"/>
      </w:tblPr>
      <w:tblGrid>
        <w:gridCol w:w="4442"/>
        <w:gridCol w:w="4618"/>
      </w:tblGrid>
      <w:tr w:rsidR="00D12DA3" w:rsidRPr="00B52B89" w14:paraId="3487371A" w14:textId="77777777" w:rsidTr="00461576">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39A97200" w14:textId="77777777" w:rsidR="00D12DA3" w:rsidRPr="00B52B89" w:rsidRDefault="00D12DA3" w:rsidP="004709BF">
            <w:pPr>
              <w:pStyle w:val="Table-titleWhite"/>
              <w:rPr>
                <w:rFonts w:asciiTheme="minorHAnsi" w:hAnsiTheme="minorHAnsi"/>
                <w:lang w:val="en-GB"/>
              </w:rPr>
            </w:pPr>
            <w:r w:rsidRPr="00B52B89">
              <w:rPr>
                <w:rFonts w:asciiTheme="minorHAnsi" w:hAnsiTheme="minorHAnsi"/>
                <w:lang w:val="en-GB"/>
              </w:rPr>
              <w:t>List of Contributors</w:t>
            </w:r>
          </w:p>
        </w:tc>
      </w:tr>
      <w:tr w:rsidR="00D12DA3" w:rsidRPr="00B52B89" w14:paraId="57594454" w14:textId="77777777" w:rsidTr="00461576">
        <w:trPr>
          <w:cnfStyle w:val="000000100000" w:firstRow="0" w:lastRow="0" w:firstColumn="0" w:lastColumn="0" w:oddVBand="0" w:evenVBand="0" w:oddHBand="1" w:evenHBand="0" w:firstRowFirstColumn="0" w:firstRowLastColumn="0" w:lastRowFirstColumn="0" w:lastRowLastColumn="0"/>
        </w:trPr>
        <w:tc>
          <w:tcPr>
            <w:tcW w:w="4442" w:type="dxa"/>
            <w:shd w:val="clear" w:color="auto" w:fill="D1DFF3"/>
          </w:tcPr>
          <w:p w14:paraId="4259B6C3"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Name</w:t>
            </w:r>
          </w:p>
        </w:tc>
        <w:tc>
          <w:tcPr>
            <w:tcW w:w="4618" w:type="dxa"/>
            <w:shd w:val="clear" w:color="auto" w:fill="D1DFF3"/>
          </w:tcPr>
          <w:p w14:paraId="06C53A46"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Partner</w:t>
            </w:r>
          </w:p>
        </w:tc>
      </w:tr>
      <w:tr w:rsidR="00E90CFD" w:rsidRPr="00B52B89" w14:paraId="0B12BDFD" w14:textId="77777777" w:rsidTr="00461576">
        <w:tc>
          <w:tcPr>
            <w:tcW w:w="4442" w:type="dxa"/>
          </w:tcPr>
          <w:p w14:paraId="169F2D80" w14:textId="3D6881B2" w:rsidR="00E90CFD" w:rsidRPr="00B52B89" w:rsidRDefault="00583B18" w:rsidP="00E90CFD">
            <w:pPr>
              <w:pStyle w:val="Table-Text"/>
              <w:rPr>
                <w:rFonts w:asciiTheme="minorHAnsi" w:hAnsiTheme="minorHAnsi"/>
                <w:lang w:val="en-GB"/>
              </w:rPr>
            </w:pPr>
            <w:r w:rsidRPr="00B52B89">
              <w:rPr>
                <w:rFonts w:asciiTheme="minorHAnsi" w:hAnsiTheme="minorHAnsi"/>
                <w:lang w:val="en-GB"/>
              </w:rPr>
              <w:t>Ruben Roex</w:t>
            </w:r>
          </w:p>
        </w:tc>
        <w:tc>
          <w:tcPr>
            <w:tcW w:w="4618" w:type="dxa"/>
          </w:tcPr>
          <w:p w14:paraId="73A138F3" w14:textId="5572197F" w:rsidR="00E90CFD" w:rsidRPr="00B52B89" w:rsidRDefault="00E90CFD" w:rsidP="00E90CFD">
            <w:pPr>
              <w:pStyle w:val="Table-Text"/>
              <w:rPr>
                <w:rFonts w:asciiTheme="minorHAnsi" w:hAnsiTheme="minorHAnsi"/>
                <w:lang w:val="en-GB"/>
              </w:rPr>
            </w:pPr>
            <w:r w:rsidRPr="00B52B89">
              <w:rPr>
                <w:rFonts w:asciiTheme="minorHAnsi" w:hAnsiTheme="minorHAnsi"/>
                <w:lang w:val="en-GB"/>
              </w:rPr>
              <w:t>Timelex</w:t>
            </w:r>
          </w:p>
        </w:tc>
      </w:tr>
    </w:tbl>
    <w:p w14:paraId="60664F43" w14:textId="77777777" w:rsidR="00D12DA3" w:rsidRPr="00B52B89" w:rsidRDefault="00D12DA3" w:rsidP="00D12DA3">
      <w:pPr>
        <w:rPr>
          <w:lang w:val="en-GB"/>
        </w:rPr>
      </w:pPr>
    </w:p>
    <w:tbl>
      <w:tblPr>
        <w:tblStyle w:val="ARI1"/>
        <w:tblW w:w="0" w:type="auto"/>
        <w:tblLayout w:type="fixed"/>
        <w:tblLook w:val="04A0" w:firstRow="1" w:lastRow="0" w:firstColumn="1" w:lastColumn="0" w:noHBand="0" w:noVBand="1"/>
      </w:tblPr>
      <w:tblGrid>
        <w:gridCol w:w="903"/>
        <w:gridCol w:w="1077"/>
        <w:gridCol w:w="1417"/>
        <w:gridCol w:w="5587"/>
      </w:tblGrid>
      <w:tr w:rsidR="00D12DA3" w:rsidRPr="00B52B89" w14:paraId="05252BE2" w14:textId="77777777" w:rsidTr="0030369C">
        <w:trPr>
          <w:cnfStyle w:val="100000000000" w:firstRow="1" w:lastRow="0" w:firstColumn="0" w:lastColumn="0" w:oddVBand="0" w:evenVBand="0" w:oddHBand="0" w:evenHBand="0" w:firstRowFirstColumn="0" w:firstRowLastColumn="0" w:lastRowFirstColumn="0" w:lastRowLastColumn="0"/>
        </w:trPr>
        <w:tc>
          <w:tcPr>
            <w:tcW w:w="8984" w:type="dxa"/>
            <w:gridSpan w:val="4"/>
          </w:tcPr>
          <w:p w14:paraId="4FFBACE8" w14:textId="77777777" w:rsidR="00D12DA3" w:rsidRPr="00B52B89" w:rsidRDefault="00D12DA3" w:rsidP="004709BF">
            <w:pPr>
              <w:pStyle w:val="Table-titleWhite"/>
              <w:rPr>
                <w:rFonts w:asciiTheme="minorHAnsi" w:hAnsiTheme="minorHAnsi"/>
                <w:lang w:val="en-GB"/>
              </w:rPr>
            </w:pPr>
            <w:r w:rsidRPr="00B52B89">
              <w:rPr>
                <w:rFonts w:asciiTheme="minorHAnsi" w:hAnsiTheme="minorHAnsi"/>
                <w:lang w:val="en-GB"/>
              </w:rPr>
              <w:t>Document History</w:t>
            </w:r>
          </w:p>
        </w:tc>
      </w:tr>
      <w:tr w:rsidR="00D12DA3" w:rsidRPr="00B52B89" w14:paraId="63318C41" w14:textId="77777777" w:rsidTr="0030369C">
        <w:trPr>
          <w:cnfStyle w:val="000000100000" w:firstRow="0" w:lastRow="0" w:firstColumn="0" w:lastColumn="0" w:oddVBand="0" w:evenVBand="0" w:oddHBand="1" w:evenHBand="0" w:firstRowFirstColumn="0" w:firstRowLastColumn="0" w:lastRowFirstColumn="0" w:lastRowLastColumn="0"/>
        </w:trPr>
        <w:tc>
          <w:tcPr>
            <w:tcW w:w="903" w:type="dxa"/>
            <w:shd w:val="clear" w:color="auto" w:fill="D1DFF3"/>
          </w:tcPr>
          <w:p w14:paraId="7E112A48"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Version</w:t>
            </w:r>
          </w:p>
        </w:tc>
        <w:tc>
          <w:tcPr>
            <w:tcW w:w="1077" w:type="dxa"/>
            <w:shd w:val="clear" w:color="auto" w:fill="D1DFF3"/>
          </w:tcPr>
          <w:p w14:paraId="738FFA4C"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Date</w:t>
            </w:r>
          </w:p>
        </w:tc>
        <w:tc>
          <w:tcPr>
            <w:tcW w:w="1417" w:type="dxa"/>
            <w:shd w:val="clear" w:color="auto" w:fill="D1DFF3"/>
          </w:tcPr>
          <w:p w14:paraId="75823668"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 xml:space="preserve">Change editors </w:t>
            </w:r>
          </w:p>
        </w:tc>
        <w:tc>
          <w:tcPr>
            <w:tcW w:w="5587" w:type="dxa"/>
            <w:shd w:val="clear" w:color="auto" w:fill="D1DFF3"/>
          </w:tcPr>
          <w:p w14:paraId="1F6E3D47"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Changes</w:t>
            </w:r>
          </w:p>
        </w:tc>
      </w:tr>
      <w:tr w:rsidR="00070584" w:rsidRPr="00B52B89" w14:paraId="6E789BCD" w14:textId="77777777" w:rsidTr="0030369C">
        <w:tc>
          <w:tcPr>
            <w:tcW w:w="903" w:type="dxa"/>
          </w:tcPr>
          <w:p w14:paraId="7EDE940B" w14:textId="4DAB707F" w:rsidR="00070584" w:rsidRPr="00B52B89" w:rsidRDefault="00070584" w:rsidP="00070584">
            <w:pPr>
              <w:pStyle w:val="Table-Text"/>
              <w:rPr>
                <w:rFonts w:asciiTheme="minorHAnsi" w:hAnsiTheme="minorHAnsi"/>
                <w:lang w:val="en-GB"/>
              </w:rPr>
            </w:pPr>
            <w:r w:rsidRPr="00B52B89">
              <w:rPr>
                <w:rFonts w:asciiTheme="minorHAnsi" w:hAnsiTheme="minorHAnsi"/>
                <w:lang w:val="en-GB"/>
              </w:rPr>
              <w:t>0.8</w:t>
            </w:r>
          </w:p>
        </w:tc>
        <w:tc>
          <w:tcPr>
            <w:tcW w:w="1077" w:type="dxa"/>
          </w:tcPr>
          <w:p w14:paraId="3BE2628E" w14:textId="0B9493F1" w:rsidR="00070584" w:rsidRPr="00B52B89" w:rsidRDefault="00583B18" w:rsidP="00070584">
            <w:pPr>
              <w:pStyle w:val="Table-Text"/>
              <w:rPr>
                <w:rFonts w:asciiTheme="minorHAnsi" w:hAnsiTheme="minorHAnsi"/>
                <w:lang w:val="en-GB"/>
              </w:rPr>
            </w:pPr>
            <w:r w:rsidRPr="00B52B89">
              <w:rPr>
                <w:rFonts w:asciiTheme="minorHAnsi" w:hAnsiTheme="minorHAnsi"/>
                <w:lang w:val="en-GB"/>
              </w:rPr>
              <w:t>15</w:t>
            </w:r>
            <w:r w:rsidR="00070584" w:rsidRPr="00B52B89">
              <w:rPr>
                <w:rFonts w:asciiTheme="minorHAnsi" w:hAnsiTheme="minorHAnsi"/>
                <w:lang w:val="en-GB"/>
              </w:rPr>
              <w:t>/</w:t>
            </w:r>
            <w:r w:rsidRPr="00B52B89">
              <w:rPr>
                <w:rFonts w:asciiTheme="minorHAnsi" w:hAnsiTheme="minorHAnsi"/>
                <w:lang w:val="en-GB"/>
              </w:rPr>
              <w:t>12</w:t>
            </w:r>
            <w:r w:rsidR="00070584" w:rsidRPr="00B52B89">
              <w:rPr>
                <w:rFonts w:asciiTheme="minorHAnsi" w:hAnsiTheme="minorHAnsi"/>
                <w:lang w:val="en-GB"/>
              </w:rPr>
              <w:t>/2020</w:t>
            </w:r>
          </w:p>
        </w:tc>
        <w:tc>
          <w:tcPr>
            <w:tcW w:w="1417" w:type="dxa"/>
          </w:tcPr>
          <w:p w14:paraId="76EBC576" w14:textId="6C7F0E5D" w:rsidR="00070584" w:rsidRPr="00B52B89" w:rsidRDefault="00583B18" w:rsidP="00070584">
            <w:pPr>
              <w:pStyle w:val="Table-Text"/>
              <w:rPr>
                <w:rFonts w:asciiTheme="minorHAnsi" w:hAnsiTheme="minorHAnsi"/>
                <w:color w:val="0070C0"/>
                <w:lang w:val="en-GB"/>
              </w:rPr>
            </w:pPr>
            <w:r w:rsidRPr="00B52B89">
              <w:rPr>
                <w:rFonts w:asciiTheme="minorHAnsi" w:hAnsiTheme="minorHAnsi"/>
                <w:lang w:val="en-GB"/>
              </w:rPr>
              <w:t>Ruben Roex</w:t>
            </w:r>
          </w:p>
        </w:tc>
        <w:tc>
          <w:tcPr>
            <w:tcW w:w="5587" w:type="dxa"/>
          </w:tcPr>
          <w:p w14:paraId="4E0344F0" w14:textId="0512266A" w:rsidR="00070584" w:rsidRPr="00B52B89" w:rsidRDefault="00070584" w:rsidP="00070584">
            <w:pPr>
              <w:pStyle w:val="Table-Text"/>
              <w:rPr>
                <w:rFonts w:asciiTheme="minorHAnsi" w:hAnsiTheme="minorHAnsi"/>
                <w:color w:val="0070C0"/>
                <w:lang w:val="en-GB"/>
              </w:rPr>
            </w:pPr>
            <w:r w:rsidRPr="00B52B89">
              <w:rPr>
                <w:rFonts w:asciiTheme="minorHAnsi" w:hAnsiTheme="minorHAnsi"/>
                <w:lang w:val="en-GB"/>
              </w:rPr>
              <w:t>Initial version of document</w:t>
            </w:r>
          </w:p>
        </w:tc>
      </w:tr>
      <w:tr w:rsidR="00D12DA3" w:rsidRPr="00B52B89" w14:paraId="4D35DD0A" w14:textId="77777777" w:rsidTr="0030369C">
        <w:trPr>
          <w:cnfStyle w:val="000000100000" w:firstRow="0" w:lastRow="0" w:firstColumn="0" w:lastColumn="0" w:oddVBand="0" w:evenVBand="0" w:oddHBand="1" w:evenHBand="0" w:firstRowFirstColumn="0" w:firstRowLastColumn="0" w:lastRowFirstColumn="0" w:lastRowLastColumn="0"/>
        </w:trPr>
        <w:tc>
          <w:tcPr>
            <w:tcW w:w="903" w:type="dxa"/>
          </w:tcPr>
          <w:p w14:paraId="4836939F" w14:textId="73A4EEB5" w:rsidR="00D12DA3" w:rsidRPr="00B52B89" w:rsidRDefault="00EE2591" w:rsidP="00D12DA3">
            <w:pPr>
              <w:pStyle w:val="Table-Text"/>
              <w:rPr>
                <w:rFonts w:asciiTheme="minorHAnsi" w:hAnsiTheme="minorHAnsi"/>
                <w:lang w:val="en-GB"/>
              </w:rPr>
            </w:pPr>
            <w:r>
              <w:rPr>
                <w:rFonts w:asciiTheme="minorHAnsi" w:hAnsiTheme="minorHAnsi"/>
                <w:lang w:val="en-GB"/>
              </w:rPr>
              <w:t>0.9</w:t>
            </w:r>
          </w:p>
        </w:tc>
        <w:tc>
          <w:tcPr>
            <w:tcW w:w="1077" w:type="dxa"/>
          </w:tcPr>
          <w:p w14:paraId="70CA1E6A" w14:textId="2A6F0B96" w:rsidR="00D12DA3" w:rsidRPr="00B52B89" w:rsidRDefault="00EE2591" w:rsidP="00D12DA3">
            <w:pPr>
              <w:pStyle w:val="Table-Text"/>
              <w:rPr>
                <w:rFonts w:asciiTheme="minorHAnsi" w:hAnsiTheme="minorHAnsi"/>
                <w:lang w:val="en-GB"/>
              </w:rPr>
            </w:pPr>
            <w:r w:rsidRPr="00B52B89">
              <w:rPr>
                <w:rFonts w:asciiTheme="minorHAnsi" w:hAnsiTheme="minorHAnsi"/>
                <w:lang w:val="en-GB"/>
              </w:rPr>
              <w:t>1</w:t>
            </w:r>
            <w:r>
              <w:rPr>
                <w:rFonts w:asciiTheme="minorHAnsi" w:hAnsiTheme="minorHAnsi"/>
                <w:lang w:val="en-GB"/>
              </w:rPr>
              <w:t>6</w:t>
            </w:r>
            <w:r w:rsidRPr="00B52B89">
              <w:rPr>
                <w:rFonts w:asciiTheme="minorHAnsi" w:hAnsiTheme="minorHAnsi"/>
                <w:lang w:val="en-GB"/>
              </w:rPr>
              <w:t>/12/2020</w:t>
            </w:r>
          </w:p>
        </w:tc>
        <w:tc>
          <w:tcPr>
            <w:tcW w:w="1417" w:type="dxa"/>
          </w:tcPr>
          <w:p w14:paraId="14FDB8AE" w14:textId="137ED8AD" w:rsidR="00D12DA3" w:rsidRPr="00B52B89" w:rsidRDefault="00EE2591" w:rsidP="00D12DA3">
            <w:pPr>
              <w:pStyle w:val="Table-Text"/>
              <w:rPr>
                <w:rFonts w:asciiTheme="minorHAnsi" w:hAnsiTheme="minorHAnsi"/>
                <w:lang w:val="en-GB"/>
              </w:rPr>
            </w:pPr>
            <w:r>
              <w:rPr>
                <w:rFonts w:asciiTheme="minorHAnsi" w:hAnsiTheme="minorHAnsi"/>
                <w:lang w:val="en-GB"/>
              </w:rPr>
              <w:t>Julia Wells</w:t>
            </w:r>
          </w:p>
        </w:tc>
        <w:tc>
          <w:tcPr>
            <w:tcW w:w="5587" w:type="dxa"/>
          </w:tcPr>
          <w:p w14:paraId="64A29B8A" w14:textId="3E18276C" w:rsidR="00D12DA3" w:rsidRPr="00B52B89" w:rsidRDefault="00EE2591" w:rsidP="00D12DA3">
            <w:pPr>
              <w:pStyle w:val="Table-Text"/>
              <w:rPr>
                <w:rFonts w:asciiTheme="minorHAnsi" w:hAnsiTheme="minorHAnsi"/>
                <w:lang w:val="en-GB"/>
              </w:rPr>
            </w:pPr>
            <w:r>
              <w:rPr>
                <w:rFonts w:asciiTheme="minorHAnsi" w:hAnsiTheme="minorHAnsi"/>
                <w:lang w:val="en-GB"/>
              </w:rPr>
              <w:t>Quality check for submission</w:t>
            </w:r>
          </w:p>
        </w:tc>
      </w:tr>
      <w:tr w:rsidR="00EE2591" w:rsidRPr="00B52B89" w14:paraId="36ED1F15" w14:textId="77777777" w:rsidTr="0030369C">
        <w:tc>
          <w:tcPr>
            <w:tcW w:w="903" w:type="dxa"/>
          </w:tcPr>
          <w:p w14:paraId="53A080F3" w14:textId="102060C0" w:rsidR="00EE2591" w:rsidRDefault="00EE2591" w:rsidP="00D12DA3">
            <w:pPr>
              <w:pStyle w:val="Table-Text"/>
              <w:rPr>
                <w:rFonts w:asciiTheme="minorHAnsi" w:hAnsiTheme="minorHAnsi"/>
                <w:lang w:val="en-GB"/>
              </w:rPr>
            </w:pPr>
            <w:r>
              <w:rPr>
                <w:rFonts w:asciiTheme="minorHAnsi" w:hAnsiTheme="minorHAnsi"/>
                <w:lang w:val="en-GB"/>
              </w:rPr>
              <w:t>1.0</w:t>
            </w:r>
          </w:p>
        </w:tc>
        <w:tc>
          <w:tcPr>
            <w:tcW w:w="1077" w:type="dxa"/>
          </w:tcPr>
          <w:p w14:paraId="4F7FCF81" w14:textId="013479D2" w:rsidR="00EE2591" w:rsidRPr="00B52B89" w:rsidRDefault="004D6CF5" w:rsidP="00D12DA3">
            <w:pPr>
              <w:pStyle w:val="Table-Text"/>
              <w:rPr>
                <w:rFonts w:asciiTheme="minorHAnsi" w:hAnsiTheme="minorHAnsi"/>
                <w:lang w:val="en-GB"/>
              </w:rPr>
            </w:pPr>
            <w:r>
              <w:rPr>
                <w:rFonts w:asciiTheme="minorHAnsi" w:hAnsiTheme="minorHAnsi"/>
                <w:lang w:val="en-GB"/>
              </w:rPr>
              <w:t>17</w:t>
            </w:r>
            <w:r w:rsidR="00EE2591">
              <w:rPr>
                <w:rFonts w:asciiTheme="minorHAnsi" w:hAnsiTheme="minorHAnsi"/>
                <w:lang w:val="en-GB"/>
              </w:rPr>
              <w:t>/12/2020</w:t>
            </w:r>
          </w:p>
        </w:tc>
        <w:tc>
          <w:tcPr>
            <w:tcW w:w="1417" w:type="dxa"/>
          </w:tcPr>
          <w:p w14:paraId="754870E9" w14:textId="11517F06" w:rsidR="00EE2591" w:rsidRDefault="00EE2591" w:rsidP="00D12DA3">
            <w:pPr>
              <w:pStyle w:val="Table-Text"/>
              <w:rPr>
                <w:rFonts w:asciiTheme="minorHAnsi" w:hAnsiTheme="minorHAnsi"/>
                <w:lang w:val="en-GB"/>
              </w:rPr>
            </w:pPr>
            <w:r>
              <w:rPr>
                <w:rFonts w:asciiTheme="minorHAnsi" w:hAnsiTheme="minorHAnsi"/>
                <w:lang w:val="en-GB"/>
              </w:rPr>
              <w:t>Ana Piñuela</w:t>
            </w:r>
          </w:p>
        </w:tc>
        <w:tc>
          <w:tcPr>
            <w:tcW w:w="5587" w:type="dxa"/>
          </w:tcPr>
          <w:p w14:paraId="77208DCE" w14:textId="41F78D76" w:rsidR="00EE2591" w:rsidRDefault="00EE2591" w:rsidP="00D12DA3">
            <w:pPr>
              <w:pStyle w:val="Table-Text"/>
              <w:rPr>
                <w:rFonts w:asciiTheme="minorHAnsi" w:hAnsiTheme="minorHAnsi"/>
                <w:lang w:val="en-GB"/>
              </w:rPr>
            </w:pPr>
            <w:r>
              <w:rPr>
                <w:rFonts w:asciiTheme="minorHAnsi" w:hAnsiTheme="minorHAnsi"/>
                <w:lang w:val="en-GB"/>
              </w:rPr>
              <w:t>Final for submission</w:t>
            </w:r>
          </w:p>
        </w:tc>
      </w:tr>
    </w:tbl>
    <w:p w14:paraId="266DB5A8" w14:textId="77777777" w:rsidR="00D12DA3" w:rsidRPr="00B52B89" w:rsidRDefault="00D12DA3" w:rsidP="00D12DA3">
      <w:pPr>
        <w:rPr>
          <w:lang w:val="en-GB"/>
        </w:rPr>
      </w:pPr>
    </w:p>
    <w:tbl>
      <w:tblPr>
        <w:tblStyle w:val="ARI1"/>
        <w:tblW w:w="9067" w:type="dxa"/>
        <w:tblLayout w:type="fixed"/>
        <w:tblLook w:val="04A0" w:firstRow="1" w:lastRow="0" w:firstColumn="1" w:lastColumn="0" w:noHBand="0" w:noVBand="1"/>
      </w:tblPr>
      <w:tblGrid>
        <w:gridCol w:w="2835"/>
        <w:gridCol w:w="4531"/>
        <w:gridCol w:w="1701"/>
      </w:tblGrid>
      <w:tr w:rsidR="00D12DA3" w:rsidRPr="00B52B89" w14:paraId="1F4B23E0" w14:textId="77777777" w:rsidTr="00AB3533">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4E8D56E3" w14:textId="77777777" w:rsidR="00D12DA3" w:rsidRPr="00B52B89" w:rsidRDefault="00D12DA3" w:rsidP="004709BF">
            <w:pPr>
              <w:pStyle w:val="Table-titleWhite"/>
              <w:rPr>
                <w:rFonts w:asciiTheme="minorHAnsi" w:hAnsiTheme="minorHAnsi"/>
                <w:lang w:val="en-GB"/>
              </w:rPr>
            </w:pPr>
            <w:r w:rsidRPr="00B52B89">
              <w:rPr>
                <w:rFonts w:asciiTheme="minorHAnsi" w:hAnsiTheme="minorHAnsi"/>
                <w:lang w:val="en-GB"/>
              </w:rPr>
              <w:t>Quality Control</w:t>
            </w:r>
          </w:p>
        </w:tc>
      </w:tr>
      <w:tr w:rsidR="00D12DA3" w:rsidRPr="00B52B89" w14:paraId="033EC4A7" w14:textId="77777777" w:rsidTr="00AB3533">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D1DFF3"/>
          </w:tcPr>
          <w:p w14:paraId="20AC00F3"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Role</w:t>
            </w:r>
          </w:p>
        </w:tc>
        <w:tc>
          <w:tcPr>
            <w:tcW w:w="4531" w:type="dxa"/>
            <w:shd w:val="clear" w:color="auto" w:fill="D1DFF3"/>
          </w:tcPr>
          <w:p w14:paraId="01AD2314"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Who (Partner short name)</w:t>
            </w:r>
          </w:p>
        </w:tc>
        <w:tc>
          <w:tcPr>
            <w:tcW w:w="1701" w:type="dxa"/>
            <w:shd w:val="clear" w:color="auto" w:fill="D1DFF3"/>
          </w:tcPr>
          <w:p w14:paraId="6A275D9A" w14:textId="77777777" w:rsidR="00D12DA3" w:rsidRPr="00B52B89" w:rsidRDefault="00D12DA3" w:rsidP="00D12DA3">
            <w:pPr>
              <w:pStyle w:val="Table-Text"/>
              <w:rPr>
                <w:rFonts w:asciiTheme="minorHAnsi" w:hAnsiTheme="minorHAnsi"/>
                <w:lang w:val="en-GB"/>
              </w:rPr>
            </w:pPr>
            <w:r w:rsidRPr="00B52B89">
              <w:rPr>
                <w:rFonts w:asciiTheme="minorHAnsi" w:hAnsiTheme="minorHAnsi"/>
                <w:lang w:val="en-GB"/>
              </w:rPr>
              <w:t>Approval Date</w:t>
            </w:r>
          </w:p>
        </w:tc>
      </w:tr>
      <w:tr w:rsidR="00A77945" w:rsidRPr="00B52B89" w14:paraId="59E4B19B" w14:textId="77777777" w:rsidTr="00C503ED">
        <w:tc>
          <w:tcPr>
            <w:tcW w:w="2835" w:type="dxa"/>
          </w:tcPr>
          <w:p w14:paraId="1A0AEDC6" w14:textId="0F557C73" w:rsidR="00A77945" w:rsidRPr="00B52B89" w:rsidRDefault="00A77945" w:rsidP="00A77945">
            <w:pPr>
              <w:pStyle w:val="Table-Text"/>
              <w:rPr>
                <w:rFonts w:asciiTheme="minorHAnsi" w:hAnsiTheme="minorHAnsi"/>
                <w:lang w:val="en-GB"/>
              </w:rPr>
            </w:pPr>
            <w:r w:rsidRPr="00B52B89">
              <w:rPr>
                <w:rFonts w:asciiTheme="minorHAnsi" w:hAnsiTheme="minorHAnsi"/>
                <w:lang w:val="en-GB"/>
              </w:rPr>
              <w:t>Deliverable leader</w:t>
            </w:r>
          </w:p>
        </w:tc>
        <w:tc>
          <w:tcPr>
            <w:tcW w:w="4531" w:type="dxa"/>
          </w:tcPr>
          <w:p w14:paraId="305073C3" w14:textId="5340B922" w:rsidR="00A77945" w:rsidRPr="00B52B89" w:rsidRDefault="00BD50A1" w:rsidP="00A77945">
            <w:pPr>
              <w:pStyle w:val="Table-Text"/>
              <w:rPr>
                <w:rFonts w:asciiTheme="minorHAnsi" w:hAnsiTheme="minorHAnsi"/>
                <w:lang w:val="en-GB"/>
              </w:rPr>
            </w:pPr>
            <w:r w:rsidRPr="00B52B89">
              <w:rPr>
                <w:rFonts w:asciiTheme="minorHAnsi" w:hAnsiTheme="minorHAnsi"/>
                <w:lang w:val="en-GB"/>
              </w:rPr>
              <w:t>Ruben Roex</w:t>
            </w:r>
            <w:r w:rsidRPr="00B52B89">
              <w:rPr>
                <w:rFonts w:asciiTheme="majorHAnsi" w:hAnsiTheme="majorHAnsi" w:cstheme="majorHAnsi"/>
                <w:lang w:val="en-GB"/>
              </w:rPr>
              <w:t xml:space="preserve"> </w:t>
            </w:r>
            <w:r w:rsidR="00A77945" w:rsidRPr="00B52B89">
              <w:rPr>
                <w:rFonts w:asciiTheme="majorHAnsi" w:hAnsiTheme="majorHAnsi" w:cstheme="majorHAnsi"/>
                <w:lang w:val="en-GB"/>
              </w:rPr>
              <w:t>(TLX)</w:t>
            </w:r>
          </w:p>
        </w:tc>
        <w:tc>
          <w:tcPr>
            <w:tcW w:w="1701" w:type="dxa"/>
          </w:tcPr>
          <w:p w14:paraId="1975DE7A" w14:textId="2C8BEE0F" w:rsidR="00A77945" w:rsidRPr="00B52B89" w:rsidRDefault="00763A03" w:rsidP="00A77945">
            <w:pPr>
              <w:pStyle w:val="Table-Text"/>
              <w:rPr>
                <w:rFonts w:asciiTheme="minorHAnsi" w:hAnsiTheme="minorHAnsi"/>
                <w:lang w:val="en-GB"/>
              </w:rPr>
            </w:pPr>
            <w:r w:rsidRPr="00B52B89">
              <w:rPr>
                <w:rFonts w:asciiTheme="minorHAnsi" w:hAnsiTheme="minorHAnsi"/>
                <w:lang w:val="en-GB"/>
              </w:rPr>
              <w:t>15</w:t>
            </w:r>
            <w:r w:rsidR="00A77945" w:rsidRPr="00B52B89">
              <w:rPr>
                <w:rFonts w:asciiTheme="minorHAnsi" w:hAnsiTheme="minorHAnsi"/>
                <w:lang w:val="en-GB"/>
              </w:rPr>
              <w:t>/</w:t>
            </w:r>
            <w:r w:rsidRPr="00B52B89">
              <w:rPr>
                <w:rFonts w:asciiTheme="minorHAnsi" w:hAnsiTheme="minorHAnsi"/>
                <w:lang w:val="en-GB"/>
              </w:rPr>
              <w:t>12</w:t>
            </w:r>
            <w:r w:rsidR="00A77945" w:rsidRPr="00B52B89">
              <w:rPr>
                <w:rFonts w:asciiTheme="minorHAnsi" w:hAnsiTheme="minorHAnsi"/>
                <w:lang w:val="en-GB"/>
              </w:rPr>
              <w:t>/</w:t>
            </w:r>
            <w:r w:rsidRPr="00B52B89">
              <w:rPr>
                <w:rFonts w:asciiTheme="minorHAnsi" w:hAnsiTheme="minorHAnsi"/>
                <w:lang w:val="en-GB"/>
              </w:rPr>
              <w:t>2020</w:t>
            </w:r>
          </w:p>
        </w:tc>
      </w:tr>
      <w:tr w:rsidR="00EE2591" w:rsidRPr="00B52B89" w14:paraId="3726FD1B" w14:textId="77777777" w:rsidTr="00C503ED">
        <w:trPr>
          <w:cnfStyle w:val="000000100000" w:firstRow="0" w:lastRow="0" w:firstColumn="0" w:lastColumn="0" w:oddVBand="0" w:evenVBand="0" w:oddHBand="1" w:evenHBand="0" w:firstRowFirstColumn="0" w:firstRowLastColumn="0" w:lastRowFirstColumn="0" w:lastRowLastColumn="0"/>
        </w:trPr>
        <w:tc>
          <w:tcPr>
            <w:tcW w:w="2835" w:type="dxa"/>
          </w:tcPr>
          <w:p w14:paraId="357E657F" w14:textId="77777777" w:rsidR="00EE2591" w:rsidRPr="00B52B89" w:rsidRDefault="00EE2591" w:rsidP="00EE2591">
            <w:pPr>
              <w:pStyle w:val="Table-Text"/>
              <w:rPr>
                <w:rFonts w:asciiTheme="minorHAnsi" w:hAnsiTheme="minorHAnsi"/>
                <w:lang w:val="en-GB"/>
              </w:rPr>
            </w:pPr>
            <w:r w:rsidRPr="00B52B89">
              <w:rPr>
                <w:rFonts w:asciiTheme="minorHAnsi" w:hAnsiTheme="minorHAnsi"/>
                <w:lang w:val="en-GB"/>
              </w:rPr>
              <w:t>Quality manager</w:t>
            </w:r>
          </w:p>
        </w:tc>
        <w:tc>
          <w:tcPr>
            <w:tcW w:w="4531" w:type="dxa"/>
          </w:tcPr>
          <w:p w14:paraId="4D0878FA" w14:textId="11421855" w:rsidR="00EE2591" w:rsidRPr="00B52B89" w:rsidRDefault="00EE2591" w:rsidP="00EE2591">
            <w:pPr>
              <w:pStyle w:val="Table-Text"/>
              <w:rPr>
                <w:rFonts w:asciiTheme="minorHAnsi" w:hAnsiTheme="minorHAnsi"/>
                <w:lang w:val="en-GB"/>
              </w:rPr>
            </w:pPr>
            <w:r w:rsidRPr="00B52B89">
              <w:rPr>
                <w:rFonts w:asciiTheme="minorHAnsi" w:hAnsiTheme="minorHAnsi"/>
                <w:lang w:val="en-GB"/>
              </w:rPr>
              <w:t>Julia Wells (ATOS)</w:t>
            </w:r>
          </w:p>
        </w:tc>
        <w:tc>
          <w:tcPr>
            <w:tcW w:w="1701" w:type="dxa"/>
          </w:tcPr>
          <w:p w14:paraId="5915DF5E" w14:textId="78E73192" w:rsidR="00EE2591" w:rsidRPr="00B52B89" w:rsidRDefault="00EE2591" w:rsidP="00EE2591">
            <w:pPr>
              <w:pStyle w:val="Table-Text"/>
              <w:rPr>
                <w:rFonts w:asciiTheme="minorHAnsi" w:hAnsiTheme="minorHAnsi"/>
                <w:lang w:val="en-GB"/>
              </w:rPr>
            </w:pPr>
            <w:r w:rsidRPr="00B52B89">
              <w:rPr>
                <w:rFonts w:asciiTheme="minorHAnsi" w:hAnsiTheme="minorHAnsi"/>
                <w:lang w:val="en-GB"/>
              </w:rPr>
              <w:t>1</w:t>
            </w:r>
            <w:r>
              <w:rPr>
                <w:rFonts w:asciiTheme="minorHAnsi" w:hAnsiTheme="minorHAnsi"/>
                <w:lang w:val="en-GB"/>
              </w:rPr>
              <w:t>6</w:t>
            </w:r>
            <w:r w:rsidRPr="00B52B89">
              <w:rPr>
                <w:rFonts w:asciiTheme="minorHAnsi" w:hAnsiTheme="minorHAnsi"/>
                <w:lang w:val="en-GB"/>
              </w:rPr>
              <w:t>/12/2020</w:t>
            </w:r>
          </w:p>
        </w:tc>
      </w:tr>
      <w:tr w:rsidR="00EE2591" w:rsidRPr="00B52B89" w14:paraId="67D60D10" w14:textId="77777777" w:rsidTr="00C503ED">
        <w:tc>
          <w:tcPr>
            <w:tcW w:w="2835" w:type="dxa"/>
          </w:tcPr>
          <w:p w14:paraId="6DC8B41F" w14:textId="77777777" w:rsidR="00EE2591" w:rsidRPr="00B52B89" w:rsidRDefault="00EE2591" w:rsidP="00EE2591">
            <w:pPr>
              <w:pStyle w:val="Table-Text"/>
              <w:rPr>
                <w:rFonts w:asciiTheme="minorHAnsi" w:hAnsiTheme="minorHAnsi"/>
                <w:lang w:val="en-GB"/>
              </w:rPr>
            </w:pPr>
            <w:r w:rsidRPr="00B52B89">
              <w:rPr>
                <w:rFonts w:asciiTheme="minorHAnsi" w:hAnsiTheme="minorHAnsi"/>
                <w:lang w:val="en-GB"/>
              </w:rPr>
              <w:t>Project Coordinator</w:t>
            </w:r>
          </w:p>
        </w:tc>
        <w:tc>
          <w:tcPr>
            <w:tcW w:w="4531" w:type="dxa"/>
          </w:tcPr>
          <w:p w14:paraId="47B2F5C2" w14:textId="7A1806F9" w:rsidR="00EE2591" w:rsidRPr="00B52B89" w:rsidRDefault="00EE2591" w:rsidP="00EE2591">
            <w:pPr>
              <w:pStyle w:val="Table-Text"/>
              <w:rPr>
                <w:rFonts w:asciiTheme="minorHAnsi" w:hAnsiTheme="minorHAnsi"/>
                <w:lang w:val="en-GB"/>
              </w:rPr>
            </w:pPr>
            <w:r w:rsidRPr="00B52B89">
              <w:rPr>
                <w:rFonts w:asciiTheme="minorHAnsi" w:hAnsiTheme="minorHAnsi"/>
                <w:lang w:val="en-GB"/>
              </w:rPr>
              <w:t>Ana Piñuela Marcos (ATOS)</w:t>
            </w:r>
          </w:p>
        </w:tc>
        <w:tc>
          <w:tcPr>
            <w:tcW w:w="1701" w:type="dxa"/>
          </w:tcPr>
          <w:p w14:paraId="378AEDEA" w14:textId="5532300D" w:rsidR="00EE2591" w:rsidRPr="00B52B89" w:rsidRDefault="00813A64" w:rsidP="00EE2591">
            <w:pPr>
              <w:pStyle w:val="Table-Text"/>
              <w:rPr>
                <w:rFonts w:asciiTheme="minorHAnsi" w:hAnsiTheme="minorHAnsi"/>
                <w:lang w:val="en-GB"/>
              </w:rPr>
            </w:pPr>
            <w:r>
              <w:rPr>
                <w:rFonts w:asciiTheme="minorHAnsi" w:hAnsiTheme="minorHAnsi"/>
                <w:lang w:val="en-GB"/>
              </w:rPr>
              <w:t>17</w:t>
            </w:r>
            <w:r w:rsidR="00EE2591">
              <w:rPr>
                <w:rFonts w:asciiTheme="minorHAnsi" w:hAnsiTheme="minorHAnsi"/>
                <w:lang w:val="en-GB"/>
              </w:rPr>
              <w:t>/12/2020</w:t>
            </w:r>
          </w:p>
        </w:tc>
      </w:tr>
    </w:tbl>
    <w:p w14:paraId="19BFFD99" w14:textId="00FBE652" w:rsidR="00D12DA3" w:rsidRPr="00B52B89" w:rsidRDefault="00D12DA3" w:rsidP="00D12DA3">
      <w:pPr>
        <w:rPr>
          <w:lang w:val="en-GB"/>
        </w:rPr>
      </w:pPr>
    </w:p>
    <w:p w14:paraId="7570A7CD" w14:textId="77777777" w:rsidR="00D12DA3" w:rsidRPr="00B52B89" w:rsidRDefault="00D12DA3" w:rsidP="00CA74FB">
      <w:pPr>
        <w:pStyle w:val="Titel"/>
        <w:spacing w:after="100"/>
        <w:rPr>
          <w:lang w:val="en-GB"/>
        </w:rPr>
      </w:pPr>
      <w:bookmarkStart w:id="2" w:name="_Toc59118119"/>
      <w:r w:rsidRPr="00B52B89">
        <w:rPr>
          <w:lang w:val="en-GB"/>
        </w:rPr>
        <w:lastRenderedPageBreak/>
        <w:t>Table of Contents</w:t>
      </w:r>
      <w:bookmarkEnd w:id="2"/>
    </w:p>
    <w:p w14:paraId="5C41A821" w14:textId="3754AC50" w:rsidR="00011C58" w:rsidRDefault="00D12DA3">
      <w:pPr>
        <w:pStyle w:val="Inhopg1"/>
        <w:rPr>
          <w:rFonts w:asciiTheme="minorHAnsi" w:eastAsiaTheme="minorEastAsia" w:hAnsiTheme="minorHAnsi" w:cstheme="minorBidi"/>
          <w:lang w:val="nl-BE" w:eastAsia="nl-BE"/>
        </w:rPr>
      </w:pPr>
      <w:r w:rsidRPr="00B52B89">
        <w:rPr>
          <w:lang w:val="en-GB"/>
        </w:rPr>
        <w:fldChar w:fldCharType="begin"/>
      </w:r>
      <w:r w:rsidRPr="00B52B89">
        <w:rPr>
          <w:lang w:val="en-GB"/>
        </w:rPr>
        <w:instrText xml:space="preserve"> TOC \o "1-3" \h \z \u </w:instrText>
      </w:r>
      <w:r w:rsidRPr="00B52B89">
        <w:rPr>
          <w:lang w:val="en-GB"/>
        </w:rPr>
        <w:fldChar w:fldCharType="separate"/>
      </w:r>
      <w:hyperlink w:anchor="_Toc59118117" w:history="1">
        <w:r w:rsidR="00011C58" w:rsidRPr="00B870A5">
          <w:rPr>
            <w:rStyle w:val="Hyperlink"/>
            <w:rFonts w:cs="Calibri"/>
            <w:lang w:val="en-GB"/>
          </w:rPr>
          <w:t>18/12/2020</w:t>
        </w:r>
        <w:r w:rsidR="00011C58">
          <w:rPr>
            <w:webHidden/>
          </w:rPr>
          <w:tab/>
        </w:r>
        <w:r w:rsidR="00011C58">
          <w:rPr>
            <w:webHidden/>
          </w:rPr>
          <w:fldChar w:fldCharType="begin"/>
        </w:r>
        <w:r w:rsidR="00011C58">
          <w:rPr>
            <w:webHidden/>
          </w:rPr>
          <w:instrText xml:space="preserve"> PAGEREF _Toc59118117 \h </w:instrText>
        </w:r>
        <w:r w:rsidR="00011C58">
          <w:rPr>
            <w:webHidden/>
          </w:rPr>
        </w:r>
        <w:r w:rsidR="00011C58">
          <w:rPr>
            <w:webHidden/>
          </w:rPr>
          <w:fldChar w:fldCharType="separate"/>
        </w:r>
        <w:r w:rsidR="00011C58">
          <w:rPr>
            <w:webHidden/>
          </w:rPr>
          <w:t>1</w:t>
        </w:r>
        <w:r w:rsidR="00011C58">
          <w:rPr>
            <w:webHidden/>
          </w:rPr>
          <w:fldChar w:fldCharType="end"/>
        </w:r>
      </w:hyperlink>
    </w:p>
    <w:p w14:paraId="5DDBDC84" w14:textId="6501B971" w:rsidR="00011C58" w:rsidRDefault="0030369C">
      <w:pPr>
        <w:pStyle w:val="Inhopg1"/>
        <w:rPr>
          <w:rFonts w:asciiTheme="minorHAnsi" w:eastAsiaTheme="minorEastAsia" w:hAnsiTheme="minorHAnsi" w:cstheme="minorBidi"/>
          <w:lang w:val="nl-BE" w:eastAsia="nl-BE"/>
        </w:rPr>
      </w:pPr>
      <w:hyperlink w:anchor="_Toc59118118" w:history="1">
        <w:r w:rsidR="00011C58" w:rsidRPr="00B870A5">
          <w:rPr>
            <w:rStyle w:val="Hyperlink"/>
            <w:lang w:val="en-GB"/>
          </w:rPr>
          <w:t>Document Information</w:t>
        </w:r>
        <w:r w:rsidR="00011C58">
          <w:rPr>
            <w:webHidden/>
          </w:rPr>
          <w:tab/>
        </w:r>
        <w:r w:rsidR="00011C58">
          <w:rPr>
            <w:webHidden/>
          </w:rPr>
          <w:fldChar w:fldCharType="begin"/>
        </w:r>
        <w:r w:rsidR="00011C58">
          <w:rPr>
            <w:webHidden/>
          </w:rPr>
          <w:instrText xml:space="preserve"> PAGEREF _Toc59118118 \h </w:instrText>
        </w:r>
        <w:r w:rsidR="00011C58">
          <w:rPr>
            <w:webHidden/>
          </w:rPr>
        </w:r>
        <w:r w:rsidR="00011C58">
          <w:rPr>
            <w:webHidden/>
          </w:rPr>
          <w:fldChar w:fldCharType="separate"/>
        </w:r>
        <w:r w:rsidR="00011C58">
          <w:rPr>
            <w:webHidden/>
          </w:rPr>
          <w:t>2</w:t>
        </w:r>
        <w:r w:rsidR="00011C58">
          <w:rPr>
            <w:webHidden/>
          </w:rPr>
          <w:fldChar w:fldCharType="end"/>
        </w:r>
      </w:hyperlink>
    </w:p>
    <w:p w14:paraId="56A7AEAF" w14:textId="7EBBD8F5" w:rsidR="00011C58" w:rsidRDefault="0030369C">
      <w:pPr>
        <w:pStyle w:val="Inhopg1"/>
        <w:rPr>
          <w:rFonts w:asciiTheme="minorHAnsi" w:eastAsiaTheme="minorEastAsia" w:hAnsiTheme="minorHAnsi" w:cstheme="minorBidi"/>
          <w:lang w:val="nl-BE" w:eastAsia="nl-BE"/>
        </w:rPr>
      </w:pPr>
      <w:hyperlink w:anchor="_Toc59118119" w:history="1">
        <w:r w:rsidR="00011C58" w:rsidRPr="00B870A5">
          <w:rPr>
            <w:rStyle w:val="Hyperlink"/>
            <w:lang w:val="en-GB"/>
          </w:rPr>
          <w:t>Table of Contents</w:t>
        </w:r>
        <w:r w:rsidR="00011C58">
          <w:rPr>
            <w:webHidden/>
          </w:rPr>
          <w:tab/>
        </w:r>
        <w:r w:rsidR="00011C58">
          <w:rPr>
            <w:webHidden/>
          </w:rPr>
          <w:fldChar w:fldCharType="begin"/>
        </w:r>
        <w:r w:rsidR="00011C58">
          <w:rPr>
            <w:webHidden/>
          </w:rPr>
          <w:instrText xml:space="preserve"> PAGEREF _Toc59118119 \h </w:instrText>
        </w:r>
        <w:r w:rsidR="00011C58">
          <w:rPr>
            <w:webHidden/>
          </w:rPr>
        </w:r>
        <w:r w:rsidR="00011C58">
          <w:rPr>
            <w:webHidden/>
          </w:rPr>
          <w:fldChar w:fldCharType="separate"/>
        </w:r>
        <w:r w:rsidR="00011C58">
          <w:rPr>
            <w:webHidden/>
          </w:rPr>
          <w:t>3</w:t>
        </w:r>
        <w:r w:rsidR="00011C58">
          <w:rPr>
            <w:webHidden/>
          </w:rPr>
          <w:fldChar w:fldCharType="end"/>
        </w:r>
      </w:hyperlink>
    </w:p>
    <w:p w14:paraId="79E55DA4" w14:textId="52F45447" w:rsidR="00011C58" w:rsidRDefault="0030369C">
      <w:pPr>
        <w:pStyle w:val="Inhopg1"/>
        <w:rPr>
          <w:rFonts w:asciiTheme="minorHAnsi" w:eastAsiaTheme="minorEastAsia" w:hAnsiTheme="minorHAnsi" w:cstheme="minorBidi"/>
          <w:lang w:val="nl-BE" w:eastAsia="nl-BE"/>
        </w:rPr>
      </w:pPr>
      <w:hyperlink w:anchor="_Toc59118120" w:history="1">
        <w:r w:rsidR="00011C58" w:rsidRPr="00B870A5">
          <w:rPr>
            <w:rStyle w:val="Hyperlink"/>
            <w:lang w:val="en-GB"/>
          </w:rPr>
          <w:t>List of Acronyms</w:t>
        </w:r>
        <w:r w:rsidR="00011C58">
          <w:rPr>
            <w:webHidden/>
          </w:rPr>
          <w:tab/>
        </w:r>
        <w:r w:rsidR="00011C58">
          <w:rPr>
            <w:webHidden/>
          </w:rPr>
          <w:fldChar w:fldCharType="begin"/>
        </w:r>
        <w:r w:rsidR="00011C58">
          <w:rPr>
            <w:webHidden/>
          </w:rPr>
          <w:instrText xml:space="preserve"> PAGEREF _Toc59118120 \h </w:instrText>
        </w:r>
        <w:r w:rsidR="00011C58">
          <w:rPr>
            <w:webHidden/>
          </w:rPr>
        </w:r>
        <w:r w:rsidR="00011C58">
          <w:rPr>
            <w:webHidden/>
          </w:rPr>
          <w:fldChar w:fldCharType="separate"/>
        </w:r>
        <w:r w:rsidR="00011C58">
          <w:rPr>
            <w:webHidden/>
          </w:rPr>
          <w:t>4</w:t>
        </w:r>
        <w:r w:rsidR="00011C58">
          <w:rPr>
            <w:webHidden/>
          </w:rPr>
          <w:fldChar w:fldCharType="end"/>
        </w:r>
      </w:hyperlink>
    </w:p>
    <w:p w14:paraId="6F465642" w14:textId="5037FA0D" w:rsidR="00011C58" w:rsidRDefault="0030369C">
      <w:pPr>
        <w:pStyle w:val="Inhopg1"/>
        <w:rPr>
          <w:rFonts w:asciiTheme="minorHAnsi" w:eastAsiaTheme="minorEastAsia" w:hAnsiTheme="minorHAnsi" w:cstheme="minorBidi"/>
          <w:lang w:val="nl-BE" w:eastAsia="nl-BE"/>
        </w:rPr>
      </w:pPr>
      <w:hyperlink w:anchor="_Toc59118121" w:history="1">
        <w:r w:rsidR="00011C58" w:rsidRPr="00B870A5">
          <w:rPr>
            <w:rStyle w:val="Hyperlink"/>
            <w:lang w:val="en-GB"/>
          </w:rPr>
          <w:t>Executive Summary</w:t>
        </w:r>
        <w:r w:rsidR="00011C58">
          <w:rPr>
            <w:webHidden/>
          </w:rPr>
          <w:tab/>
        </w:r>
        <w:r w:rsidR="00011C58">
          <w:rPr>
            <w:webHidden/>
          </w:rPr>
          <w:fldChar w:fldCharType="begin"/>
        </w:r>
        <w:r w:rsidR="00011C58">
          <w:rPr>
            <w:webHidden/>
          </w:rPr>
          <w:instrText xml:space="preserve"> PAGEREF _Toc59118121 \h </w:instrText>
        </w:r>
        <w:r w:rsidR="00011C58">
          <w:rPr>
            <w:webHidden/>
          </w:rPr>
        </w:r>
        <w:r w:rsidR="00011C58">
          <w:rPr>
            <w:webHidden/>
          </w:rPr>
          <w:fldChar w:fldCharType="separate"/>
        </w:r>
        <w:r w:rsidR="00011C58">
          <w:rPr>
            <w:webHidden/>
          </w:rPr>
          <w:t>6</w:t>
        </w:r>
        <w:r w:rsidR="00011C58">
          <w:rPr>
            <w:webHidden/>
          </w:rPr>
          <w:fldChar w:fldCharType="end"/>
        </w:r>
      </w:hyperlink>
    </w:p>
    <w:p w14:paraId="78682194" w14:textId="54FAA399" w:rsidR="00011C58" w:rsidRDefault="0030369C">
      <w:pPr>
        <w:pStyle w:val="Inhopg1"/>
        <w:rPr>
          <w:rFonts w:asciiTheme="minorHAnsi" w:eastAsiaTheme="minorEastAsia" w:hAnsiTheme="minorHAnsi" w:cstheme="minorBidi"/>
          <w:lang w:val="nl-BE" w:eastAsia="nl-BE"/>
        </w:rPr>
      </w:pPr>
      <w:hyperlink w:anchor="_Toc59118122" w:history="1">
        <w:r w:rsidR="00011C58" w:rsidRPr="00B870A5">
          <w:rPr>
            <w:rStyle w:val="Hyperlink"/>
            <w:lang w:val="en-GB"/>
          </w:rPr>
          <w:t>1</w:t>
        </w:r>
        <w:r w:rsidR="00011C58">
          <w:rPr>
            <w:rFonts w:asciiTheme="minorHAnsi" w:eastAsiaTheme="minorEastAsia" w:hAnsiTheme="minorHAnsi" w:cstheme="minorBidi"/>
            <w:lang w:val="nl-BE" w:eastAsia="nl-BE"/>
          </w:rPr>
          <w:tab/>
        </w:r>
        <w:r w:rsidR="00011C58" w:rsidRPr="00B870A5">
          <w:rPr>
            <w:rStyle w:val="Hyperlink"/>
            <w:lang w:val="en-GB"/>
          </w:rPr>
          <w:t>Introduction</w:t>
        </w:r>
        <w:r w:rsidR="00011C58">
          <w:rPr>
            <w:webHidden/>
          </w:rPr>
          <w:tab/>
        </w:r>
        <w:r w:rsidR="00011C58">
          <w:rPr>
            <w:webHidden/>
          </w:rPr>
          <w:fldChar w:fldCharType="begin"/>
        </w:r>
        <w:r w:rsidR="00011C58">
          <w:rPr>
            <w:webHidden/>
          </w:rPr>
          <w:instrText xml:space="preserve"> PAGEREF _Toc59118122 \h </w:instrText>
        </w:r>
        <w:r w:rsidR="00011C58">
          <w:rPr>
            <w:webHidden/>
          </w:rPr>
        </w:r>
        <w:r w:rsidR="00011C58">
          <w:rPr>
            <w:webHidden/>
          </w:rPr>
          <w:fldChar w:fldCharType="separate"/>
        </w:r>
        <w:r w:rsidR="00011C58">
          <w:rPr>
            <w:webHidden/>
          </w:rPr>
          <w:t>7</w:t>
        </w:r>
        <w:r w:rsidR="00011C58">
          <w:rPr>
            <w:webHidden/>
          </w:rPr>
          <w:fldChar w:fldCharType="end"/>
        </w:r>
      </w:hyperlink>
    </w:p>
    <w:p w14:paraId="4DDD117E" w14:textId="394BE28F" w:rsidR="00011C58" w:rsidRDefault="0030369C">
      <w:pPr>
        <w:pStyle w:val="Inhopg2"/>
        <w:rPr>
          <w:rFonts w:asciiTheme="minorHAnsi" w:eastAsiaTheme="minorEastAsia" w:hAnsiTheme="minorHAnsi" w:cstheme="minorBidi"/>
          <w:lang w:val="nl-BE" w:eastAsia="nl-BE"/>
        </w:rPr>
      </w:pPr>
      <w:hyperlink w:anchor="_Toc59118123" w:history="1">
        <w:r w:rsidR="00011C58" w:rsidRPr="00B870A5">
          <w:rPr>
            <w:rStyle w:val="Hyperlink"/>
            <w:lang w:val="en-GB"/>
          </w:rPr>
          <w:t>1.1</w:t>
        </w:r>
        <w:r w:rsidR="00011C58">
          <w:rPr>
            <w:rFonts w:asciiTheme="minorHAnsi" w:eastAsiaTheme="minorEastAsia" w:hAnsiTheme="minorHAnsi" w:cstheme="minorBidi"/>
            <w:lang w:val="nl-BE" w:eastAsia="nl-BE"/>
          </w:rPr>
          <w:tab/>
        </w:r>
        <w:r w:rsidR="00011C58" w:rsidRPr="00B870A5">
          <w:rPr>
            <w:rStyle w:val="Hyperlink"/>
            <w:lang w:val="en-GB"/>
          </w:rPr>
          <w:t>Purpose of the document</w:t>
        </w:r>
        <w:r w:rsidR="00011C58">
          <w:rPr>
            <w:webHidden/>
          </w:rPr>
          <w:tab/>
        </w:r>
        <w:r w:rsidR="00011C58">
          <w:rPr>
            <w:webHidden/>
          </w:rPr>
          <w:fldChar w:fldCharType="begin"/>
        </w:r>
        <w:r w:rsidR="00011C58">
          <w:rPr>
            <w:webHidden/>
          </w:rPr>
          <w:instrText xml:space="preserve"> PAGEREF _Toc59118123 \h </w:instrText>
        </w:r>
        <w:r w:rsidR="00011C58">
          <w:rPr>
            <w:webHidden/>
          </w:rPr>
        </w:r>
        <w:r w:rsidR="00011C58">
          <w:rPr>
            <w:webHidden/>
          </w:rPr>
          <w:fldChar w:fldCharType="separate"/>
        </w:r>
        <w:r w:rsidR="00011C58">
          <w:rPr>
            <w:webHidden/>
          </w:rPr>
          <w:t>7</w:t>
        </w:r>
        <w:r w:rsidR="00011C58">
          <w:rPr>
            <w:webHidden/>
          </w:rPr>
          <w:fldChar w:fldCharType="end"/>
        </w:r>
      </w:hyperlink>
    </w:p>
    <w:p w14:paraId="34F4E9D0" w14:textId="545F8388" w:rsidR="00011C58" w:rsidRDefault="0030369C">
      <w:pPr>
        <w:pStyle w:val="Inhopg2"/>
        <w:rPr>
          <w:rFonts w:asciiTheme="minorHAnsi" w:eastAsiaTheme="minorEastAsia" w:hAnsiTheme="minorHAnsi" w:cstheme="minorBidi"/>
          <w:lang w:val="nl-BE" w:eastAsia="nl-BE"/>
        </w:rPr>
      </w:pPr>
      <w:hyperlink w:anchor="_Toc59118124" w:history="1">
        <w:r w:rsidR="00011C58" w:rsidRPr="00B870A5">
          <w:rPr>
            <w:rStyle w:val="Hyperlink"/>
            <w:lang w:val="en-GB"/>
          </w:rPr>
          <w:t>1.2</w:t>
        </w:r>
        <w:r w:rsidR="00011C58">
          <w:rPr>
            <w:rFonts w:asciiTheme="minorHAnsi" w:eastAsiaTheme="minorEastAsia" w:hAnsiTheme="minorHAnsi" w:cstheme="minorBidi"/>
            <w:lang w:val="nl-BE" w:eastAsia="nl-BE"/>
          </w:rPr>
          <w:tab/>
        </w:r>
        <w:r w:rsidR="00011C58" w:rsidRPr="00B870A5">
          <w:rPr>
            <w:rStyle w:val="Hyperlink"/>
            <w:lang w:val="en-GB"/>
          </w:rPr>
          <w:t>Structure of the document</w:t>
        </w:r>
        <w:r w:rsidR="00011C58">
          <w:rPr>
            <w:webHidden/>
          </w:rPr>
          <w:tab/>
        </w:r>
        <w:r w:rsidR="00011C58">
          <w:rPr>
            <w:webHidden/>
          </w:rPr>
          <w:fldChar w:fldCharType="begin"/>
        </w:r>
        <w:r w:rsidR="00011C58">
          <w:rPr>
            <w:webHidden/>
          </w:rPr>
          <w:instrText xml:space="preserve"> PAGEREF _Toc59118124 \h </w:instrText>
        </w:r>
        <w:r w:rsidR="00011C58">
          <w:rPr>
            <w:webHidden/>
          </w:rPr>
        </w:r>
        <w:r w:rsidR="00011C58">
          <w:rPr>
            <w:webHidden/>
          </w:rPr>
          <w:fldChar w:fldCharType="separate"/>
        </w:r>
        <w:r w:rsidR="00011C58">
          <w:rPr>
            <w:webHidden/>
          </w:rPr>
          <w:t>7</w:t>
        </w:r>
        <w:r w:rsidR="00011C58">
          <w:rPr>
            <w:webHidden/>
          </w:rPr>
          <w:fldChar w:fldCharType="end"/>
        </w:r>
      </w:hyperlink>
    </w:p>
    <w:p w14:paraId="32BA9EA4" w14:textId="2A11A7F5" w:rsidR="00011C58" w:rsidRDefault="0030369C">
      <w:pPr>
        <w:pStyle w:val="Inhopg1"/>
        <w:rPr>
          <w:rFonts w:asciiTheme="minorHAnsi" w:eastAsiaTheme="minorEastAsia" w:hAnsiTheme="minorHAnsi" w:cstheme="minorBidi"/>
          <w:lang w:val="nl-BE" w:eastAsia="nl-BE"/>
        </w:rPr>
      </w:pPr>
      <w:hyperlink w:anchor="_Toc59118125" w:history="1">
        <w:r w:rsidR="00011C58" w:rsidRPr="00B870A5">
          <w:rPr>
            <w:rStyle w:val="Hyperlink"/>
            <w:lang w:val="en-GB"/>
          </w:rPr>
          <w:t>2</w:t>
        </w:r>
        <w:r w:rsidR="00011C58">
          <w:rPr>
            <w:rFonts w:asciiTheme="minorHAnsi" w:eastAsiaTheme="minorEastAsia" w:hAnsiTheme="minorHAnsi" w:cstheme="minorBidi"/>
            <w:lang w:val="nl-BE" w:eastAsia="nl-BE"/>
          </w:rPr>
          <w:tab/>
        </w:r>
        <w:r w:rsidR="00011C58" w:rsidRPr="00B870A5">
          <w:rPr>
            <w:rStyle w:val="Hyperlink"/>
            <w:lang w:val="en-GB"/>
          </w:rPr>
          <w:t>Methodology of the ethics assessment</w:t>
        </w:r>
        <w:r w:rsidR="00011C58">
          <w:rPr>
            <w:webHidden/>
          </w:rPr>
          <w:tab/>
        </w:r>
        <w:r w:rsidR="00011C58">
          <w:rPr>
            <w:webHidden/>
          </w:rPr>
          <w:fldChar w:fldCharType="begin"/>
        </w:r>
        <w:r w:rsidR="00011C58">
          <w:rPr>
            <w:webHidden/>
          </w:rPr>
          <w:instrText xml:space="preserve"> PAGEREF _Toc59118125 \h </w:instrText>
        </w:r>
        <w:r w:rsidR="00011C58">
          <w:rPr>
            <w:webHidden/>
          </w:rPr>
        </w:r>
        <w:r w:rsidR="00011C58">
          <w:rPr>
            <w:webHidden/>
          </w:rPr>
          <w:fldChar w:fldCharType="separate"/>
        </w:r>
        <w:r w:rsidR="00011C58">
          <w:rPr>
            <w:webHidden/>
          </w:rPr>
          <w:t>8</w:t>
        </w:r>
        <w:r w:rsidR="00011C58">
          <w:rPr>
            <w:webHidden/>
          </w:rPr>
          <w:fldChar w:fldCharType="end"/>
        </w:r>
      </w:hyperlink>
    </w:p>
    <w:p w14:paraId="3C64B765" w14:textId="34D89A53" w:rsidR="00011C58" w:rsidRDefault="0030369C">
      <w:pPr>
        <w:pStyle w:val="Inhopg2"/>
        <w:rPr>
          <w:rFonts w:asciiTheme="minorHAnsi" w:eastAsiaTheme="minorEastAsia" w:hAnsiTheme="minorHAnsi" w:cstheme="minorBidi"/>
          <w:lang w:val="nl-BE" w:eastAsia="nl-BE"/>
        </w:rPr>
      </w:pPr>
      <w:hyperlink w:anchor="_Toc59118126" w:history="1">
        <w:r w:rsidR="00011C58" w:rsidRPr="00B870A5">
          <w:rPr>
            <w:rStyle w:val="Hyperlink"/>
            <w:lang w:val="en-GB"/>
          </w:rPr>
          <w:t>2.1</w:t>
        </w:r>
        <w:r w:rsidR="00011C58">
          <w:rPr>
            <w:rFonts w:asciiTheme="minorHAnsi" w:eastAsiaTheme="minorEastAsia" w:hAnsiTheme="minorHAnsi" w:cstheme="minorBidi"/>
            <w:lang w:val="nl-BE" w:eastAsia="nl-BE"/>
          </w:rPr>
          <w:tab/>
        </w:r>
        <w:r w:rsidR="00011C58" w:rsidRPr="00B870A5">
          <w:rPr>
            <w:rStyle w:val="Hyperlink"/>
            <w:lang w:val="en-GB"/>
          </w:rPr>
          <w:t>Responsible Research and Innovation and Value Sensitive Design</w:t>
        </w:r>
        <w:r w:rsidR="00011C58">
          <w:rPr>
            <w:webHidden/>
          </w:rPr>
          <w:tab/>
        </w:r>
        <w:r w:rsidR="00011C58">
          <w:rPr>
            <w:webHidden/>
          </w:rPr>
          <w:fldChar w:fldCharType="begin"/>
        </w:r>
        <w:r w:rsidR="00011C58">
          <w:rPr>
            <w:webHidden/>
          </w:rPr>
          <w:instrText xml:space="preserve"> PAGEREF _Toc59118126 \h </w:instrText>
        </w:r>
        <w:r w:rsidR="00011C58">
          <w:rPr>
            <w:webHidden/>
          </w:rPr>
        </w:r>
        <w:r w:rsidR="00011C58">
          <w:rPr>
            <w:webHidden/>
          </w:rPr>
          <w:fldChar w:fldCharType="separate"/>
        </w:r>
        <w:r w:rsidR="00011C58">
          <w:rPr>
            <w:webHidden/>
          </w:rPr>
          <w:t>8</w:t>
        </w:r>
        <w:r w:rsidR="00011C58">
          <w:rPr>
            <w:webHidden/>
          </w:rPr>
          <w:fldChar w:fldCharType="end"/>
        </w:r>
      </w:hyperlink>
    </w:p>
    <w:p w14:paraId="7EDC71E8" w14:textId="79A94946" w:rsidR="00011C58" w:rsidRDefault="0030369C">
      <w:pPr>
        <w:pStyle w:val="Inhopg2"/>
        <w:rPr>
          <w:rFonts w:asciiTheme="minorHAnsi" w:eastAsiaTheme="minorEastAsia" w:hAnsiTheme="minorHAnsi" w:cstheme="minorBidi"/>
          <w:lang w:val="nl-BE" w:eastAsia="nl-BE"/>
        </w:rPr>
      </w:pPr>
      <w:hyperlink w:anchor="_Toc59118127" w:history="1">
        <w:r w:rsidR="00011C58" w:rsidRPr="00B870A5">
          <w:rPr>
            <w:rStyle w:val="Hyperlink"/>
            <w:lang w:val="en-GB"/>
          </w:rPr>
          <w:t>2.2</w:t>
        </w:r>
        <w:r w:rsidR="00011C58">
          <w:rPr>
            <w:rFonts w:asciiTheme="minorHAnsi" w:eastAsiaTheme="minorEastAsia" w:hAnsiTheme="minorHAnsi" w:cstheme="minorBidi"/>
            <w:lang w:val="nl-BE" w:eastAsia="nl-BE"/>
          </w:rPr>
          <w:tab/>
        </w:r>
        <w:r w:rsidR="00011C58" w:rsidRPr="00B870A5">
          <w:rPr>
            <w:rStyle w:val="Hyperlink"/>
            <w:lang w:val="en-GB"/>
          </w:rPr>
          <w:t>DE4A’s normative framework and ethics requirements</w:t>
        </w:r>
        <w:r w:rsidR="00011C58">
          <w:rPr>
            <w:webHidden/>
          </w:rPr>
          <w:tab/>
        </w:r>
        <w:r w:rsidR="00011C58">
          <w:rPr>
            <w:webHidden/>
          </w:rPr>
          <w:fldChar w:fldCharType="begin"/>
        </w:r>
        <w:r w:rsidR="00011C58">
          <w:rPr>
            <w:webHidden/>
          </w:rPr>
          <w:instrText xml:space="preserve"> PAGEREF _Toc59118127 \h </w:instrText>
        </w:r>
        <w:r w:rsidR="00011C58">
          <w:rPr>
            <w:webHidden/>
          </w:rPr>
        </w:r>
        <w:r w:rsidR="00011C58">
          <w:rPr>
            <w:webHidden/>
          </w:rPr>
          <w:fldChar w:fldCharType="separate"/>
        </w:r>
        <w:r w:rsidR="00011C58">
          <w:rPr>
            <w:webHidden/>
          </w:rPr>
          <w:t>8</w:t>
        </w:r>
        <w:r w:rsidR="00011C58">
          <w:rPr>
            <w:webHidden/>
          </w:rPr>
          <w:fldChar w:fldCharType="end"/>
        </w:r>
      </w:hyperlink>
    </w:p>
    <w:p w14:paraId="6A0AD7C6" w14:textId="3E504902" w:rsidR="00011C58" w:rsidRDefault="0030369C">
      <w:pPr>
        <w:pStyle w:val="Inhopg1"/>
        <w:rPr>
          <w:rFonts w:asciiTheme="minorHAnsi" w:eastAsiaTheme="minorEastAsia" w:hAnsiTheme="minorHAnsi" w:cstheme="minorBidi"/>
          <w:lang w:val="nl-BE" w:eastAsia="nl-BE"/>
        </w:rPr>
      </w:pPr>
      <w:hyperlink w:anchor="_Toc59118128" w:history="1">
        <w:r w:rsidR="00011C58" w:rsidRPr="00B870A5">
          <w:rPr>
            <w:rStyle w:val="Hyperlink"/>
            <w:lang w:val="en-GB"/>
          </w:rPr>
          <w:t>3</w:t>
        </w:r>
        <w:r w:rsidR="00011C58">
          <w:rPr>
            <w:rFonts w:asciiTheme="minorHAnsi" w:eastAsiaTheme="minorEastAsia" w:hAnsiTheme="minorHAnsi" w:cstheme="minorBidi"/>
            <w:lang w:val="nl-BE" w:eastAsia="nl-BE"/>
          </w:rPr>
          <w:tab/>
        </w:r>
        <w:r w:rsidR="00011C58" w:rsidRPr="00B870A5">
          <w:rPr>
            <w:rStyle w:val="Hyperlink"/>
            <w:lang w:val="en-GB"/>
          </w:rPr>
          <w:t>Object of evaluation: the OOP in European law and policy</w:t>
        </w:r>
        <w:r w:rsidR="00011C58">
          <w:rPr>
            <w:webHidden/>
          </w:rPr>
          <w:tab/>
        </w:r>
        <w:r w:rsidR="00011C58">
          <w:rPr>
            <w:webHidden/>
          </w:rPr>
          <w:fldChar w:fldCharType="begin"/>
        </w:r>
        <w:r w:rsidR="00011C58">
          <w:rPr>
            <w:webHidden/>
          </w:rPr>
          <w:instrText xml:space="preserve"> PAGEREF _Toc59118128 \h </w:instrText>
        </w:r>
        <w:r w:rsidR="00011C58">
          <w:rPr>
            <w:webHidden/>
          </w:rPr>
        </w:r>
        <w:r w:rsidR="00011C58">
          <w:rPr>
            <w:webHidden/>
          </w:rPr>
          <w:fldChar w:fldCharType="separate"/>
        </w:r>
        <w:r w:rsidR="00011C58">
          <w:rPr>
            <w:webHidden/>
          </w:rPr>
          <w:t>10</w:t>
        </w:r>
        <w:r w:rsidR="00011C58">
          <w:rPr>
            <w:webHidden/>
          </w:rPr>
          <w:fldChar w:fldCharType="end"/>
        </w:r>
      </w:hyperlink>
    </w:p>
    <w:p w14:paraId="3D04C8EE" w14:textId="6B117599" w:rsidR="00011C58" w:rsidRDefault="0030369C">
      <w:pPr>
        <w:pStyle w:val="Inhopg2"/>
        <w:rPr>
          <w:rFonts w:asciiTheme="minorHAnsi" w:eastAsiaTheme="minorEastAsia" w:hAnsiTheme="minorHAnsi" w:cstheme="minorBidi"/>
          <w:lang w:val="nl-BE" w:eastAsia="nl-BE"/>
        </w:rPr>
      </w:pPr>
      <w:hyperlink w:anchor="_Toc59118129" w:history="1">
        <w:r w:rsidR="00011C58" w:rsidRPr="00B870A5">
          <w:rPr>
            <w:rStyle w:val="Hyperlink"/>
            <w:lang w:val="en-GB"/>
          </w:rPr>
          <w:t>3.1</w:t>
        </w:r>
        <w:r w:rsidR="00011C58">
          <w:rPr>
            <w:rFonts w:asciiTheme="minorHAnsi" w:eastAsiaTheme="minorEastAsia" w:hAnsiTheme="minorHAnsi" w:cstheme="minorBidi"/>
            <w:lang w:val="nl-BE" w:eastAsia="nl-BE"/>
          </w:rPr>
          <w:tab/>
        </w:r>
        <w:r w:rsidR="00011C58" w:rsidRPr="00B870A5">
          <w:rPr>
            <w:rStyle w:val="Hyperlink"/>
            <w:lang w:val="en-GB"/>
          </w:rPr>
          <w:t>General functional description of the once-only principle</w:t>
        </w:r>
        <w:r w:rsidR="00011C58">
          <w:rPr>
            <w:webHidden/>
          </w:rPr>
          <w:tab/>
        </w:r>
        <w:r w:rsidR="00011C58">
          <w:rPr>
            <w:webHidden/>
          </w:rPr>
          <w:fldChar w:fldCharType="begin"/>
        </w:r>
        <w:r w:rsidR="00011C58">
          <w:rPr>
            <w:webHidden/>
          </w:rPr>
          <w:instrText xml:space="preserve"> PAGEREF _Toc59118129 \h </w:instrText>
        </w:r>
        <w:r w:rsidR="00011C58">
          <w:rPr>
            <w:webHidden/>
          </w:rPr>
        </w:r>
        <w:r w:rsidR="00011C58">
          <w:rPr>
            <w:webHidden/>
          </w:rPr>
          <w:fldChar w:fldCharType="separate"/>
        </w:r>
        <w:r w:rsidR="00011C58">
          <w:rPr>
            <w:webHidden/>
          </w:rPr>
          <w:t>10</w:t>
        </w:r>
        <w:r w:rsidR="00011C58">
          <w:rPr>
            <w:webHidden/>
          </w:rPr>
          <w:fldChar w:fldCharType="end"/>
        </w:r>
      </w:hyperlink>
    </w:p>
    <w:p w14:paraId="7B9D31EB" w14:textId="4B02A8A8" w:rsidR="00011C58" w:rsidRDefault="0030369C">
      <w:pPr>
        <w:pStyle w:val="Inhopg2"/>
        <w:rPr>
          <w:rFonts w:asciiTheme="minorHAnsi" w:eastAsiaTheme="minorEastAsia" w:hAnsiTheme="minorHAnsi" w:cstheme="minorBidi"/>
          <w:lang w:val="nl-BE" w:eastAsia="nl-BE"/>
        </w:rPr>
      </w:pPr>
      <w:hyperlink w:anchor="_Toc59118130" w:history="1">
        <w:r w:rsidR="00011C58" w:rsidRPr="00B870A5">
          <w:rPr>
            <w:rStyle w:val="Hyperlink"/>
            <w:lang w:val="en-GB"/>
          </w:rPr>
          <w:t>3.2</w:t>
        </w:r>
        <w:r w:rsidR="00011C58">
          <w:rPr>
            <w:rFonts w:asciiTheme="minorHAnsi" w:eastAsiaTheme="minorEastAsia" w:hAnsiTheme="minorHAnsi" w:cstheme="minorBidi"/>
            <w:lang w:val="nl-BE" w:eastAsia="nl-BE"/>
          </w:rPr>
          <w:tab/>
        </w:r>
        <w:r w:rsidR="00011C58" w:rsidRPr="00B870A5">
          <w:rPr>
            <w:rStyle w:val="Hyperlink"/>
            <w:lang w:val="en-GB"/>
          </w:rPr>
          <w:t>Ethical implications – priorities for ethics evaluation</w:t>
        </w:r>
        <w:r w:rsidR="00011C58">
          <w:rPr>
            <w:webHidden/>
          </w:rPr>
          <w:tab/>
        </w:r>
        <w:r w:rsidR="00011C58">
          <w:rPr>
            <w:webHidden/>
          </w:rPr>
          <w:fldChar w:fldCharType="begin"/>
        </w:r>
        <w:r w:rsidR="00011C58">
          <w:rPr>
            <w:webHidden/>
          </w:rPr>
          <w:instrText xml:space="preserve"> PAGEREF _Toc59118130 \h </w:instrText>
        </w:r>
        <w:r w:rsidR="00011C58">
          <w:rPr>
            <w:webHidden/>
          </w:rPr>
        </w:r>
        <w:r w:rsidR="00011C58">
          <w:rPr>
            <w:webHidden/>
          </w:rPr>
          <w:fldChar w:fldCharType="separate"/>
        </w:r>
        <w:r w:rsidR="00011C58">
          <w:rPr>
            <w:webHidden/>
          </w:rPr>
          <w:t>10</w:t>
        </w:r>
        <w:r w:rsidR="00011C58">
          <w:rPr>
            <w:webHidden/>
          </w:rPr>
          <w:fldChar w:fldCharType="end"/>
        </w:r>
      </w:hyperlink>
    </w:p>
    <w:p w14:paraId="3FFE7EDD" w14:textId="44FCDECF" w:rsidR="00011C58" w:rsidRDefault="0030369C">
      <w:pPr>
        <w:pStyle w:val="Inhopg1"/>
        <w:rPr>
          <w:rFonts w:asciiTheme="minorHAnsi" w:eastAsiaTheme="minorEastAsia" w:hAnsiTheme="minorHAnsi" w:cstheme="minorBidi"/>
          <w:lang w:val="nl-BE" w:eastAsia="nl-BE"/>
        </w:rPr>
      </w:pPr>
      <w:hyperlink w:anchor="_Toc59118137" w:history="1">
        <w:r w:rsidR="00011C58" w:rsidRPr="00B870A5">
          <w:rPr>
            <w:rStyle w:val="Hyperlink"/>
            <w:lang w:val="en-GB"/>
          </w:rPr>
          <w:t>4</w:t>
        </w:r>
        <w:r w:rsidR="00011C58">
          <w:rPr>
            <w:rFonts w:asciiTheme="minorHAnsi" w:eastAsiaTheme="minorEastAsia" w:hAnsiTheme="minorHAnsi" w:cstheme="minorBidi"/>
            <w:lang w:val="nl-BE" w:eastAsia="nl-BE"/>
          </w:rPr>
          <w:tab/>
        </w:r>
        <w:r w:rsidR="00011C58" w:rsidRPr="00B870A5">
          <w:rPr>
            <w:rStyle w:val="Hyperlink"/>
            <w:lang w:val="en-GB"/>
          </w:rPr>
          <w:t>Object of evaluation - DE4A’s approach to the once-only principle and the SDGR</w:t>
        </w:r>
        <w:r w:rsidR="00011C58">
          <w:rPr>
            <w:webHidden/>
          </w:rPr>
          <w:tab/>
        </w:r>
        <w:r w:rsidR="00011C58">
          <w:rPr>
            <w:webHidden/>
          </w:rPr>
          <w:fldChar w:fldCharType="begin"/>
        </w:r>
        <w:r w:rsidR="00011C58">
          <w:rPr>
            <w:webHidden/>
          </w:rPr>
          <w:instrText xml:space="preserve"> PAGEREF _Toc59118137 \h </w:instrText>
        </w:r>
        <w:r w:rsidR="00011C58">
          <w:rPr>
            <w:webHidden/>
          </w:rPr>
        </w:r>
        <w:r w:rsidR="00011C58">
          <w:rPr>
            <w:webHidden/>
          </w:rPr>
          <w:fldChar w:fldCharType="separate"/>
        </w:r>
        <w:r w:rsidR="00011C58">
          <w:rPr>
            <w:webHidden/>
          </w:rPr>
          <w:t>16</w:t>
        </w:r>
        <w:r w:rsidR="00011C58">
          <w:rPr>
            <w:webHidden/>
          </w:rPr>
          <w:fldChar w:fldCharType="end"/>
        </w:r>
      </w:hyperlink>
    </w:p>
    <w:p w14:paraId="2155ABD8" w14:textId="59B74B6C" w:rsidR="00011C58" w:rsidRDefault="0030369C">
      <w:pPr>
        <w:pStyle w:val="Inhopg1"/>
        <w:rPr>
          <w:rFonts w:asciiTheme="minorHAnsi" w:eastAsiaTheme="minorEastAsia" w:hAnsiTheme="minorHAnsi" w:cstheme="minorBidi"/>
          <w:lang w:val="nl-BE" w:eastAsia="nl-BE"/>
        </w:rPr>
      </w:pPr>
      <w:hyperlink w:anchor="_Toc59118138" w:history="1">
        <w:r w:rsidR="00011C58" w:rsidRPr="00B870A5">
          <w:rPr>
            <w:rStyle w:val="Hyperlink"/>
            <w:lang w:val="en-GB"/>
          </w:rPr>
          <w:t>5</w:t>
        </w:r>
        <w:r w:rsidR="00011C58">
          <w:rPr>
            <w:rFonts w:asciiTheme="minorHAnsi" w:eastAsiaTheme="minorEastAsia" w:hAnsiTheme="minorHAnsi" w:cstheme="minorBidi"/>
            <w:lang w:val="nl-BE" w:eastAsia="nl-BE"/>
          </w:rPr>
          <w:tab/>
        </w:r>
        <w:r w:rsidR="00011C58" w:rsidRPr="00B870A5">
          <w:rPr>
            <w:rStyle w:val="Hyperlink"/>
            <w:lang w:val="en-GB"/>
          </w:rPr>
          <w:t>Conclusions</w:t>
        </w:r>
        <w:r w:rsidR="00011C58">
          <w:rPr>
            <w:webHidden/>
          </w:rPr>
          <w:tab/>
        </w:r>
        <w:r w:rsidR="00011C58">
          <w:rPr>
            <w:webHidden/>
          </w:rPr>
          <w:fldChar w:fldCharType="begin"/>
        </w:r>
        <w:r w:rsidR="00011C58">
          <w:rPr>
            <w:webHidden/>
          </w:rPr>
          <w:instrText xml:space="preserve"> PAGEREF _Toc59118138 \h </w:instrText>
        </w:r>
        <w:r w:rsidR="00011C58">
          <w:rPr>
            <w:webHidden/>
          </w:rPr>
        </w:r>
        <w:r w:rsidR="00011C58">
          <w:rPr>
            <w:webHidden/>
          </w:rPr>
          <w:fldChar w:fldCharType="separate"/>
        </w:r>
        <w:r w:rsidR="00011C58">
          <w:rPr>
            <w:webHidden/>
          </w:rPr>
          <w:t>17</w:t>
        </w:r>
        <w:r w:rsidR="00011C58">
          <w:rPr>
            <w:webHidden/>
          </w:rPr>
          <w:fldChar w:fldCharType="end"/>
        </w:r>
      </w:hyperlink>
    </w:p>
    <w:p w14:paraId="6EAE42DA" w14:textId="397CDC7A" w:rsidR="00011C58" w:rsidRDefault="0030369C">
      <w:pPr>
        <w:pStyle w:val="Inhopg1"/>
        <w:rPr>
          <w:rFonts w:asciiTheme="minorHAnsi" w:eastAsiaTheme="minorEastAsia" w:hAnsiTheme="minorHAnsi" w:cstheme="minorBidi"/>
          <w:lang w:val="nl-BE" w:eastAsia="nl-BE"/>
        </w:rPr>
      </w:pPr>
      <w:hyperlink w:anchor="_Toc59118139" w:history="1">
        <w:r w:rsidR="00011C58" w:rsidRPr="00B870A5">
          <w:rPr>
            <w:rStyle w:val="Hyperlink"/>
            <w:lang w:val="en-GB"/>
          </w:rPr>
          <w:t>References</w:t>
        </w:r>
        <w:r w:rsidR="00011C58">
          <w:rPr>
            <w:webHidden/>
          </w:rPr>
          <w:tab/>
        </w:r>
        <w:r w:rsidR="00011C58">
          <w:rPr>
            <w:webHidden/>
          </w:rPr>
          <w:fldChar w:fldCharType="begin"/>
        </w:r>
        <w:r w:rsidR="00011C58">
          <w:rPr>
            <w:webHidden/>
          </w:rPr>
          <w:instrText xml:space="preserve"> PAGEREF _Toc59118139 \h </w:instrText>
        </w:r>
        <w:r w:rsidR="00011C58">
          <w:rPr>
            <w:webHidden/>
          </w:rPr>
        </w:r>
        <w:r w:rsidR="00011C58">
          <w:rPr>
            <w:webHidden/>
          </w:rPr>
          <w:fldChar w:fldCharType="separate"/>
        </w:r>
        <w:r w:rsidR="00011C58">
          <w:rPr>
            <w:webHidden/>
          </w:rPr>
          <w:t>18</w:t>
        </w:r>
        <w:r w:rsidR="00011C58">
          <w:rPr>
            <w:webHidden/>
          </w:rPr>
          <w:fldChar w:fldCharType="end"/>
        </w:r>
      </w:hyperlink>
    </w:p>
    <w:p w14:paraId="7815AB0A" w14:textId="2E4786AE" w:rsidR="00D12DA3" w:rsidRPr="00B52B89" w:rsidRDefault="00D12DA3" w:rsidP="00D12DA3">
      <w:pPr>
        <w:rPr>
          <w:lang w:val="en-GB"/>
        </w:rPr>
      </w:pPr>
      <w:r w:rsidRPr="00B52B89">
        <w:rPr>
          <w:lang w:val="en-GB"/>
        </w:rPr>
        <w:fldChar w:fldCharType="end"/>
      </w:r>
    </w:p>
    <w:p w14:paraId="118E6FC2" w14:textId="181914BD" w:rsidR="00D12DA3" w:rsidRPr="00B52B89" w:rsidRDefault="00D12DA3" w:rsidP="00D12DA3">
      <w:pPr>
        <w:rPr>
          <w:lang w:val="en-GB"/>
        </w:rPr>
      </w:pPr>
    </w:p>
    <w:p w14:paraId="7FB4F8D6" w14:textId="64E70631" w:rsidR="00D12DA3" w:rsidRPr="00B52B89" w:rsidRDefault="00D12DA3" w:rsidP="00D12DA3">
      <w:pPr>
        <w:pStyle w:val="Lijstmetafbeeldingen"/>
        <w:tabs>
          <w:tab w:val="right" w:leader="underscore" w:pos="9062"/>
        </w:tabs>
        <w:rPr>
          <w:lang w:val="en-GB"/>
        </w:rPr>
      </w:pPr>
      <w:bookmarkStart w:id="3" w:name="_Toc265071326"/>
      <w:bookmarkStart w:id="4" w:name="_Toc265073515"/>
      <w:bookmarkStart w:id="5" w:name="_Toc265074308"/>
      <w:bookmarkStart w:id="6" w:name="_Toc265074811"/>
      <w:bookmarkStart w:id="7" w:name="_Toc265074912"/>
      <w:bookmarkStart w:id="8" w:name="_Toc313961229"/>
    </w:p>
    <w:p w14:paraId="5CBB32C9" w14:textId="77777777" w:rsidR="00D12DA3" w:rsidRPr="00B52B89" w:rsidRDefault="00D12DA3" w:rsidP="00D12DA3">
      <w:pPr>
        <w:rPr>
          <w:lang w:val="en-GB"/>
        </w:rPr>
      </w:pPr>
    </w:p>
    <w:p w14:paraId="14982B67" w14:textId="77777777" w:rsidR="00D12DA3" w:rsidRPr="00B52B89" w:rsidRDefault="00D12DA3" w:rsidP="00D12DA3">
      <w:pPr>
        <w:rPr>
          <w:lang w:val="en-GB"/>
        </w:rPr>
      </w:pPr>
    </w:p>
    <w:p w14:paraId="2CC5D4DA" w14:textId="77777777" w:rsidR="00D12DA3" w:rsidRPr="00B52B89" w:rsidRDefault="00D12DA3" w:rsidP="00C503ED">
      <w:pPr>
        <w:pStyle w:val="Titel"/>
        <w:rPr>
          <w:lang w:val="en-GB"/>
        </w:rPr>
      </w:pPr>
      <w:bookmarkStart w:id="9" w:name="_Toc59118120"/>
      <w:r w:rsidRPr="00B52B89">
        <w:rPr>
          <w:lang w:val="en-GB"/>
        </w:rPr>
        <w:lastRenderedPageBreak/>
        <w:t>List of Acronyms</w:t>
      </w:r>
      <w:bookmarkEnd w:id="3"/>
      <w:bookmarkEnd w:id="4"/>
      <w:bookmarkEnd w:id="5"/>
      <w:bookmarkEnd w:id="6"/>
      <w:bookmarkEnd w:id="7"/>
      <w:bookmarkEnd w:id="8"/>
      <w:bookmarkEnd w:id="9"/>
      <w:r w:rsidRPr="00B52B89">
        <w:rPr>
          <w:lang w:val="en-GB"/>
        </w:rPr>
        <w:t xml:space="preserve"> </w:t>
      </w:r>
    </w:p>
    <w:tbl>
      <w:tblPr>
        <w:tblStyle w:val="ARI1"/>
        <w:tblW w:w="9072" w:type="dxa"/>
        <w:tblLayout w:type="fixed"/>
        <w:tblLook w:val="04A0" w:firstRow="1" w:lastRow="0" w:firstColumn="1" w:lastColumn="0" w:noHBand="0" w:noVBand="1"/>
      </w:tblPr>
      <w:tblGrid>
        <w:gridCol w:w="1701"/>
        <w:gridCol w:w="7371"/>
      </w:tblGrid>
      <w:tr w:rsidR="00A6431B" w:rsidRPr="00B52B89" w14:paraId="39B188C5" w14:textId="77777777" w:rsidTr="00A6431B">
        <w:trPr>
          <w:cnfStyle w:val="100000000000" w:firstRow="1" w:lastRow="0" w:firstColumn="0" w:lastColumn="0" w:oddVBand="0" w:evenVBand="0" w:oddHBand="0" w:evenHBand="0" w:firstRowFirstColumn="0" w:firstRowLastColumn="0" w:lastRowFirstColumn="0" w:lastRowLastColumn="0"/>
        </w:trPr>
        <w:tc>
          <w:tcPr>
            <w:tcW w:w="1701" w:type="dxa"/>
          </w:tcPr>
          <w:p w14:paraId="3632B674" w14:textId="77777777" w:rsidR="00A6431B" w:rsidRPr="00B52B89" w:rsidRDefault="00A6431B" w:rsidP="00A04203">
            <w:pPr>
              <w:pStyle w:val="Table-titleWhite"/>
              <w:rPr>
                <w:rFonts w:asciiTheme="minorHAnsi" w:hAnsiTheme="minorHAnsi"/>
                <w:szCs w:val="22"/>
                <w:lang w:val="en-GB"/>
              </w:rPr>
            </w:pPr>
            <w:r w:rsidRPr="00B52B89">
              <w:rPr>
                <w:rFonts w:asciiTheme="minorHAnsi" w:hAnsiTheme="minorHAnsi"/>
                <w:szCs w:val="22"/>
                <w:lang w:val="en-GB"/>
              </w:rPr>
              <w:t xml:space="preserve">Abbreviation / acronym </w:t>
            </w:r>
          </w:p>
        </w:tc>
        <w:tc>
          <w:tcPr>
            <w:tcW w:w="7371" w:type="dxa"/>
          </w:tcPr>
          <w:p w14:paraId="528E5722" w14:textId="77777777" w:rsidR="00A6431B" w:rsidRPr="00B52B89" w:rsidRDefault="00A6431B" w:rsidP="00A04203">
            <w:pPr>
              <w:pStyle w:val="Table-titleWhite"/>
              <w:rPr>
                <w:rFonts w:asciiTheme="minorHAnsi" w:hAnsiTheme="minorHAnsi"/>
                <w:szCs w:val="22"/>
                <w:lang w:val="en-GB"/>
              </w:rPr>
            </w:pPr>
            <w:r w:rsidRPr="00B52B89">
              <w:rPr>
                <w:rFonts w:asciiTheme="minorHAnsi" w:hAnsiTheme="minorHAnsi"/>
                <w:szCs w:val="22"/>
                <w:lang w:val="en-GB"/>
              </w:rPr>
              <w:t>Description</w:t>
            </w:r>
          </w:p>
        </w:tc>
      </w:tr>
      <w:tr w:rsidR="00A6431B" w:rsidRPr="00B52B89" w14:paraId="15BFC9BF"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6AD8CA1A"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ABB</w:t>
            </w:r>
          </w:p>
        </w:tc>
        <w:tc>
          <w:tcPr>
            <w:tcW w:w="7371" w:type="dxa"/>
          </w:tcPr>
          <w:p w14:paraId="19CE2DCD"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Architecture building Block </w:t>
            </w:r>
          </w:p>
        </w:tc>
      </w:tr>
      <w:tr w:rsidR="00A6431B" w:rsidRPr="00B52B89" w14:paraId="2026F967" w14:textId="77777777" w:rsidTr="00A6431B">
        <w:tc>
          <w:tcPr>
            <w:tcW w:w="1701" w:type="dxa"/>
          </w:tcPr>
          <w:p w14:paraId="79AB67AB"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ADM</w:t>
            </w:r>
          </w:p>
        </w:tc>
        <w:tc>
          <w:tcPr>
            <w:tcW w:w="7371" w:type="dxa"/>
          </w:tcPr>
          <w:p w14:paraId="3FB50FAB"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(TOGAF) Architecture Development Method</w:t>
            </w:r>
          </w:p>
        </w:tc>
      </w:tr>
      <w:tr w:rsidR="00A6431B" w:rsidRPr="00B52B89" w14:paraId="5A4E0E10"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123A9593"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BB</w:t>
            </w:r>
          </w:p>
        </w:tc>
        <w:tc>
          <w:tcPr>
            <w:tcW w:w="7371" w:type="dxa"/>
          </w:tcPr>
          <w:p w14:paraId="6C88E1DF"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Building Block</w:t>
            </w:r>
          </w:p>
        </w:tc>
      </w:tr>
      <w:tr w:rsidR="00A6431B" w:rsidRPr="00B52B89" w14:paraId="3FF779D7" w14:textId="77777777" w:rsidTr="00A6431B">
        <w:tc>
          <w:tcPr>
            <w:tcW w:w="1701" w:type="dxa"/>
          </w:tcPr>
          <w:p w14:paraId="7F7E64EF"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BRIS</w:t>
            </w:r>
          </w:p>
        </w:tc>
        <w:tc>
          <w:tcPr>
            <w:tcW w:w="7371" w:type="dxa"/>
          </w:tcPr>
          <w:p w14:paraId="2EF31EF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Business Register Interconnection System</w:t>
            </w:r>
          </w:p>
        </w:tc>
      </w:tr>
      <w:tr w:rsidR="00A6431B" w:rsidRPr="00B52B89" w14:paraId="02CFD5EF"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140A08F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CEF</w:t>
            </w:r>
          </w:p>
        </w:tc>
        <w:tc>
          <w:tcPr>
            <w:tcW w:w="7371" w:type="dxa"/>
          </w:tcPr>
          <w:p w14:paraId="6006E01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Connecting Europe Facility</w:t>
            </w:r>
          </w:p>
        </w:tc>
      </w:tr>
      <w:tr w:rsidR="00A6431B" w:rsidRPr="00B52B89" w14:paraId="15034099" w14:textId="77777777" w:rsidTr="00A6431B">
        <w:tc>
          <w:tcPr>
            <w:tcW w:w="1701" w:type="dxa"/>
          </w:tcPr>
          <w:p w14:paraId="7A4EE3CC"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CPSV</w:t>
            </w:r>
          </w:p>
        </w:tc>
        <w:tc>
          <w:tcPr>
            <w:tcW w:w="7371" w:type="dxa"/>
          </w:tcPr>
          <w:p w14:paraId="3F860F3C"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Core Public Service Vocabulary Application Profile</w:t>
            </w:r>
          </w:p>
        </w:tc>
      </w:tr>
      <w:tr w:rsidR="00A6431B" w:rsidRPr="00B52B89" w14:paraId="3FF40D9D"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38D1F23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DCAT</w:t>
            </w:r>
          </w:p>
        </w:tc>
        <w:tc>
          <w:tcPr>
            <w:tcW w:w="7371" w:type="dxa"/>
          </w:tcPr>
          <w:p w14:paraId="69461081"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Data </w:t>
            </w:r>
            <w:proofErr w:type="spellStart"/>
            <w:r w:rsidRPr="00B52B89">
              <w:rPr>
                <w:rFonts w:asciiTheme="minorHAnsi" w:hAnsiTheme="minorHAnsi" w:cstheme="minorHAnsi"/>
                <w:lang w:val="en-GB"/>
              </w:rPr>
              <w:t>Catalog</w:t>
            </w:r>
            <w:proofErr w:type="spellEnd"/>
            <w:r w:rsidRPr="00B52B89">
              <w:rPr>
                <w:rFonts w:asciiTheme="minorHAnsi" w:hAnsiTheme="minorHAnsi" w:cstheme="minorHAnsi"/>
                <w:lang w:val="en-GB"/>
              </w:rPr>
              <w:t xml:space="preserve"> Vocabulary</w:t>
            </w:r>
          </w:p>
        </w:tc>
      </w:tr>
      <w:tr w:rsidR="00A6431B" w:rsidRPr="0030369C" w14:paraId="239C2D78" w14:textId="77777777" w:rsidTr="00A6431B">
        <w:tc>
          <w:tcPr>
            <w:tcW w:w="1701" w:type="dxa"/>
          </w:tcPr>
          <w:p w14:paraId="10BB1754"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DE4A </w:t>
            </w:r>
          </w:p>
        </w:tc>
        <w:tc>
          <w:tcPr>
            <w:tcW w:w="7371" w:type="dxa"/>
          </w:tcPr>
          <w:p w14:paraId="747ABC71"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Digital Europe for All (this project)</w:t>
            </w:r>
          </w:p>
        </w:tc>
      </w:tr>
      <w:tr w:rsidR="00A6431B" w:rsidRPr="00B52B89" w14:paraId="0884F074"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3989162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DEP</w:t>
            </w:r>
          </w:p>
        </w:tc>
        <w:tc>
          <w:tcPr>
            <w:tcW w:w="7371" w:type="dxa"/>
          </w:tcPr>
          <w:p w14:paraId="5B23D3E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Digital Europe Programme</w:t>
            </w:r>
          </w:p>
        </w:tc>
      </w:tr>
      <w:tr w:rsidR="00A6431B" w:rsidRPr="00B52B89" w14:paraId="7C7AC827" w14:textId="77777777" w:rsidTr="00A6431B">
        <w:tc>
          <w:tcPr>
            <w:tcW w:w="1701" w:type="dxa"/>
          </w:tcPr>
          <w:p w14:paraId="6F095A12"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DSM</w:t>
            </w:r>
          </w:p>
        </w:tc>
        <w:tc>
          <w:tcPr>
            <w:tcW w:w="7371" w:type="dxa"/>
          </w:tcPr>
          <w:p w14:paraId="54D14CC3"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Digital Single Market</w:t>
            </w:r>
          </w:p>
        </w:tc>
      </w:tr>
      <w:tr w:rsidR="00A6431B" w:rsidRPr="0030369C" w14:paraId="1FD4D9AF"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0D5D6EEA"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EESSI</w:t>
            </w:r>
          </w:p>
        </w:tc>
        <w:tc>
          <w:tcPr>
            <w:tcW w:w="7371" w:type="dxa"/>
          </w:tcPr>
          <w:p w14:paraId="5474CC77"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Electronic Exchange of Social Security Information </w:t>
            </w:r>
          </w:p>
        </w:tc>
      </w:tr>
      <w:tr w:rsidR="00A6431B" w:rsidRPr="00B52B89" w14:paraId="6EF25A7D" w14:textId="77777777" w:rsidTr="00A6431B">
        <w:tc>
          <w:tcPr>
            <w:tcW w:w="1701" w:type="dxa"/>
          </w:tcPr>
          <w:p w14:paraId="43AFC9FE"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EIF </w:t>
            </w:r>
          </w:p>
        </w:tc>
        <w:tc>
          <w:tcPr>
            <w:tcW w:w="7371" w:type="dxa"/>
          </w:tcPr>
          <w:p w14:paraId="49E4F0B0"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European Interoperability Framework</w:t>
            </w:r>
          </w:p>
        </w:tc>
      </w:tr>
      <w:tr w:rsidR="00A6431B" w:rsidRPr="00B52B89" w14:paraId="45C79ADD"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6286635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EIRA</w:t>
            </w:r>
          </w:p>
        </w:tc>
        <w:tc>
          <w:tcPr>
            <w:tcW w:w="7371" w:type="dxa"/>
          </w:tcPr>
          <w:p w14:paraId="589E2393"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European Interoperability Reference Architecture</w:t>
            </w:r>
          </w:p>
        </w:tc>
      </w:tr>
      <w:tr w:rsidR="00A6431B" w:rsidRPr="00B52B89" w14:paraId="788C9BE8" w14:textId="77777777" w:rsidTr="00A6431B">
        <w:tc>
          <w:tcPr>
            <w:tcW w:w="1701" w:type="dxa"/>
          </w:tcPr>
          <w:p w14:paraId="158CEFAC"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EU-GIP</w:t>
            </w:r>
          </w:p>
        </w:tc>
        <w:tc>
          <w:tcPr>
            <w:tcW w:w="7371" w:type="dxa"/>
          </w:tcPr>
          <w:p w14:paraId="5AD355BA" w14:textId="77777777" w:rsidR="00A6431B" w:rsidRPr="00B52B89" w:rsidRDefault="00A6431B" w:rsidP="00A04203">
            <w:pPr>
              <w:pStyle w:val="Normale11pt"/>
              <w:rPr>
                <w:rFonts w:asciiTheme="minorHAnsi" w:hAnsiTheme="minorHAnsi" w:cstheme="minorHAnsi"/>
                <w:lang w:val="en-GB"/>
              </w:rPr>
            </w:pPr>
            <w:proofErr w:type="spellStart"/>
            <w:r w:rsidRPr="00B52B89">
              <w:rPr>
                <w:rFonts w:asciiTheme="minorHAnsi" w:hAnsiTheme="minorHAnsi" w:cstheme="minorHAnsi"/>
                <w:lang w:val="en-GB"/>
              </w:rPr>
              <w:t>EUropean</w:t>
            </w:r>
            <w:proofErr w:type="spellEnd"/>
            <w:r w:rsidRPr="00B52B89">
              <w:rPr>
                <w:rFonts w:asciiTheme="minorHAnsi" w:hAnsiTheme="minorHAnsi" w:cstheme="minorHAnsi"/>
                <w:lang w:val="en-GB"/>
              </w:rPr>
              <w:t xml:space="preserve"> Governmental Interoperability Platform</w:t>
            </w:r>
          </w:p>
        </w:tc>
      </w:tr>
      <w:tr w:rsidR="00A6431B" w:rsidRPr="00B52B89" w14:paraId="7C154B72"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4545FD3B"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GDPR</w:t>
            </w:r>
          </w:p>
        </w:tc>
        <w:tc>
          <w:tcPr>
            <w:tcW w:w="7371" w:type="dxa"/>
          </w:tcPr>
          <w:p w14:paraId="2910944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General Data Protection Regulation</w:t>
            </w:r>
          </w:p>
        </w:tc>
      </w:tr>
      <w:tr w:rsidR="00A6431B" w:rsidRPr="0030369C" w14:paraId="3E73FE33" w14:textId="77777777" w:rsidTr="00A6431B">
        <w:tc>
          <w:tcPr>
            <w:tcW w:w="1701" w:type="dxa"/>
          </w:tcPr>
          <w:p w14:paraId="57FC449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ISA2</w:t>
            </w:r>
          </w:p>
        </w:tc>
        <w:tc>
          <w:tcPr>
            <w:tcW w:w="7371" w:type="dxa"/>
          </w:tcPr>
          <w:p w14:paraId="03DFDED3"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Interoperability solutions for public administrations, businesses and citizens</w:t>
            </w:r>
          </w:p>
        </w:tc>
      </w:tr>
      <w:tr w:rsidR="00A6431B" w:rsidRPr="0030369C" w14:paraId="42A33CAC"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02EBB130"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ISA2</w:t>
            </w:r>
          </w:p>
        </w:tc>
        <w:tc>
          <w:tcPr>
            <w:tcW w:w="7371" w:type="dxa"/>
          </w:tcPr>
          <w:p w14:paraId="26F93CEE"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Interoperability solutions for public administrations, businesses and citizens</w:t>
            </w:r>
          </w:p>
        </w:tc>
      </w:tr>
      <w:tr w:rsidR="00A6431B" w:rsidRPr="00B52B89" w14:paraId="63E7DC69" w14:textId="77777777" w:rsidTr="00A6431B">
        <w:tc>
          <w:tcPr>
            <w:tcW w:w="1701" w:type="dxa"/>
          </w:tcPr>
          <w:p w14:paraId="0B5B6489"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LSP</w:t>
            </w:r>
          </w:p>
        </w:tc>
        <w:tc>
          <w:tcPr>
            <w:tcW w:w="7371" w:type="dxa"/>
          </w:tcPr>
          <w:p w14:paraId="4C2C8B46"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Large Scale Pilot</w:t>
            </w:r>
          </w:p>
        </w:tc>
      </w:tr>
      <w:tr w:rsidR="00A6431B" w:rsidRPr="00B52B89" w14:paraId="4E6B0393"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50FF9C22"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N/A</w:t>
            </w:r>
          </w:p>
        </w:tc>
        <w:tc>
          <w:tcPr>
            <w:tcW w:w="7371" w:type="dxa"/>
          </w:tcPr>
          <w:p w14:paraId="7915A51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Not Applicable</w:t>
            </w:r>
          </w:p>
        </w:tc>
      </w:tr>
      <w:tr w:rsidR="00A6431B" w:rsidRPr="00B52B89" w14:paraId="629A6594" w14:textId="77777777" w:rsidTr="00A6431B">
        <w:tc>
          <w:tcPr>
            <w:tcW w:w="1701" w:type="dxa"/>
          </w:tcPr>
          <w:p w14:paraId="7A74FC6F"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NRT</w:t>
            </w:r>
          </w:p>
        </w:tc>
        <w:tc>
          <w:tcPr>
            <w:tcW w:w="7371" w:type="dxa"/>
          </w:tcPr>
          <w:p w14:paraId="75052CF3"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Near Real Time</w:t>
            </w:r>
          </w:p>
        </w:tc>
      </w:tr>
      <w:tr w:rsidR="00A6431B" w:rsidRPr="00B52B89" w14:paraId="6554FB75"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5837CFFB"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OOP</w:t>
            </w:r>
          </w:p>
        </w:tc>
        <w:tc>
          <w:tcPr>
            <w:tcW w:w="7371" w:type="dxa"/>
          </w:tcPr>
          <w:p w14:paraId="7032BBA1"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Once Only Principle</w:t>
            </w:r>
          </w:p>
        </w:tc>
      </w:tr>
      <w:tr w:rsidR="00A6431B" w:rsidRPr="0030369C" w14:paraId="73C5A533" w14:textId="77777777" w:rsidTr="00A6431B">
        <w:trPr>
          <w:trHeight w:val="53"/>
        </w:trPr>
        <w:tc>
          <w:tcPr>
            <w:tcW w:w="1701" w:type="dxa"/>
          </w:tcPr>
          <w:p w14:paraId="083FADF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OSI</w:t>
            </w:r>
          </w:p>
        </w:tc>
        <w:tc>
          <w:tcPr>
            <w:tcW w:w="7371" w:type="dxa"/>
          </w:tcPr>
          <w:p w14:paraId="0E01BD3E"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Open Systems Interconnection model (OSI model)</w:t>
            </w:r>
          </w:p>
        </w:tc>
      </w:tr>
      <w:tr w:rsidR="00A6431B" w:rsidRPr="00B52B89" w14:paraId="595FB97A"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005F7FC8"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PSA</w:t>
            </w:r>
          </w:p>
        </w:tc>
        <w:tc>
          <w:tcPr>
            <w:tcW w:w="7371" w:type="dxa"/>
          </w:tcPr>
          <w:p w14:paraId="6AB5BEA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Project Start Architecture</w:t>
            </w:r>
          </w:p>
        </w:tc>
      </w:tr>
      <w:tr w:rsidR="00A6431B" w:rsidRPr="00B52B89" w14:paraId="0CEF6D4A" w14:textId="77777777" w:rsidTr="00A6431B">
        <w:tc>
          <w:tcPr>
            <w:tcW w:w="1701" w:type="dxa"/>
          </w:tcPr>
          <w:p w14:paraId="485B5702"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SBB</w:t>
            </w:r>
          </w:p>
        </w:tc>
        <w:tc>
          <w:tcPr>
            <w:tcW w:w="7371" w:type="dxa"/>
          </w:tcPr>
          <w:p w14:paraId="7325D1D2"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Solution Building Block </w:t>
            </w:r>
          </w:p>
        </w:tc>
      </w:tr>
      <w:tr w:rsidR="00A6431B" w:rsidRPr="00B52B89" w14:paraId="7245A609"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58405712"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SDG</w:t>
            </w:r>
          </w:p>
        </w:tc>
        <w:tc>
          <w:tcPr>
            <w:tcW w:w="7371" w:type="dxa"/>
          </w:tcPr>
          <w:p w14:paraId="3759274E"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Single Digital Gateway</w:t>
            </w:r>
          </w:p>
        </w:tc>
      </w:tr>
      <w:tr w:rsidR="00A6431B" w:rsidRPr="0030369C" w14:paraId="5CF4A498" w14:textId="77777777" w:rsidTr="00A6431B">
        <w:trPr>
          <w:trHeight w:val="53"/>
        </w:trPr>
        <w:tc>
          <w:tcPr>
            <w:tcW w:w="1701" w:type="dxa"/>
          </w:tcPr>
          <w:p w14:paraId="74FFAB24"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SDGR</w:t>
            </w:r>
          </w:p>
        </w:tc>
        <w:tc>
          <w:tcPr>
            <w:tcW w:w="7371" w:type="dxa"/>
          </w:tcPr>
          <w:p w14:paraId="0F55784C"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Single Digital Gateway Regulation (REGULATION (EU) 2018/1724)</w:t>
            </w:r>
          </w:p>
        </w:tc>
      </w:tr>
      <w:tr w:rsidR="00A6431B" w:rsidRPr="00B52B89" w14:paraId="5923FAA4" w14:textId="77777777" w:rsidTr="00A6431B">
        <w:trPr>
          <w:cnfStyle w:val="000000100000" w:firstRow="0" w:lastRow="0" w:firstColumn="0" w:lastColumn="0" w:oddVBand="0" w:evenVBand="0" w:oddHBand="1" w:evenHBand="0" w:firstRowFirstColumn="0" w:firstRowLastColumn="0" w:lastRowFirstColumn="0" w:lastRowLastColumn="0"/>
          <w:trHeight w:val="53"/>
        </w:trPr>
        <w:tc>
          <w:tcPr>
            <w:tcW w:w="1701" w:type="dxa"/>
          </w:tcPr>
          <w:p w14:paraId="305B42C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TBD</w:t>
            </w:r>
          </w:p>
        </w:tc>
        <w:tc>
          <w:tcPr>
            <w:tcW w:w="7371" w:type="dxa"/>
          </w:tcPr>
          <w:p w14:paraId="381D5A7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To Be Determined/Defined</w:t>
            </w:r>
          </w:p>
        </w:tc>
      </w:tr>
      <w:tr w:rsidR="00A6431B" w:rsidRPr="00B52B89" w14:paraId="3D0EEBC5" w14:textId="77777777" w:rsidTr="00A6431B">
        <w:trPr>
          <w:trHeight w:val="53"/>
        </w:trPr>
        <w:tc>
          <w:tcPr>
            <w:tcW w:w="1701" w:type="dxa"/>
          </w:tcPr>
          <w:p w14:paraId="54535200"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TBW</w:t>
            </w:r>
          </w:p>
        </w:tc>
        <w:tc>
          <w:tcPr>
            <w:tcW w:w="7371" w:type="dxa"/>
          </w:tcPr>
          <w:p w14:paraId="1B7D9D79"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To Be Written</w:t>
            </w:r>
          </w:p>
        </w:tc>
      </w:tr>
      <w:tr w:rsidR="00A6431B" w:rsidRPr="0030369C" w14:paraId="79CB0FDC"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0077C2FB"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TOGAF</w:t>
            </w:r>
          </w:p>
        </w:tc>
        <w:tc>
          <w:tcPr>
            <w:tcW w:w="7371" w:type="dxa"/>
          </w:tcPr>
          <w:p w14:paraId="0D7FC591"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The Open Group Architecture Framework, </w:t>
            </w:r>
            <w:hyperlink r:id="rId14">
              <w:r w:rsidRPr="00B52B89">
                <w:rPr>
                  <w:rStyle w:val="Hyperlink"/>
                  <w:rFonts w:asciiTheme="minorHAnsi" w:hAnsiTheme="minorHAnsi" w:cstheme="minorHAnsi"/>
                  <w:lang w:val="en-GB"/>
                </w:rPr>
                <w:t>https://www.opengroup.org/togaf</w:t>
              </w:r>
            </w:hyperlink>
            <w:r w:rsidRPr="00B52B89">
              <w:rPr>
                <w:rFonts w:asciiTheme="minorHAnsi" w:hAnsiTheme="minorHAnsi" w:cstheme="minorHAnsi"/>
                <w:lang w:val="en-GB"/>
              </w:rPr>
              <w:t xml:space="preserve"> </w:t>
            </w:r>
          </w:p>
        </w:tc>
      </w:tr>
      <w:tr w:rsidR="00A6431B" w:rsidRPr="0030369C" w14:paraId="6E565AAD" w14:textId="77777777" w:rsidTr="00A6431B">
        <w:tc>
          <w:tcPr>
            <w:tcW w:w="1701" w:type="dxa"/>
          </w:tcPr>
          <w:p w14:paraId="7E2C5B80"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TOOP</w:t>
            </w:r>
          </w:p>
        </w:tc>
        <w:tc>
          <w:tcPr>
            <w:tcW w:w="7371" w:type="dxa"/>
          </w:tcPr>
          <w:p w14:paraId="06BF2761" w14:textId="4ED24DE6"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 xml:space="preserve">The Once Only </w:t>
            </w:r>
            <w:r w:rsidR="002D72B4" w:rsidRPr="00B52B89">
              <w:rPr>
                <w:rFonts w:asciiTheme="minorHAnsi" w:hAnsiTheme="minorHAnsi" w:cstheme="minorHAnsi"/>
                <w:lang w:val="en-GB"/>
              </w:rPr>
              <w:t>Principle</w:t>
            </w:r>
            <w:r w:rsidRPr="00B52B89">
              <w:rPr>
                <w:rFonts w:asciiTheme="minorHAnsi" w:hAnsiTheme="minorHAnsi" w:cstheme="minorHAnsi"/>
                <w:lang w:val="en-GB"/>
              </w:rPr>
              <w:t xml:space="preserve">, </w:t>
            </w:r>
            <w:hyperlink r:id="rId15" w:history="1">
              <w:r w:rsidRPr="00B52B89">
                <w:rPr>
                  <w:rStyle w:val="Hyperlink"/>
                  <w:rFonts w:asciiTheme="minorHAnsi" w:hAnsiTheme="minorHAnsi" w:cstheme="minorHAnsi"/>
                  <w:lang w:val="en-GB"/>
                </w:rPr>
                <w:t>http://www.toop.eu/</w:t>
              </w:r>
            </w:hyperlink>
          </w:p>
        </w:tc>
      </w:tr>
      <w:tr w:rsidR="00A6431B" w:rsidRPr="00B52B89" w14:paraId="50DAB6E5" w14:textId="77777777" w:rsidTr="00A6431B">
        <w:trPr>
          <w:cnfStyle w:val="000000100000" w:firstRow="0" w:lastRow="0" w:firstColumn="0" w:lastColumn="0" w:oddVBand="0" w:evenVBand="0" w:oddHBand="1" w:evenHBand="0" w:firstRowFirstColumn="0" w:firstRowLastColumn="0" w:lastRowFirstColumn="0" w:lastRowLastColumn="0"/>
        </w:trPr>
        <w:tc>
          <w:tcPr>
            <w:tcW w:w="1701" w:type="dxa"/>
          </w:tcPr>
          <w:p w14:paraId="01E17FA9"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lastRenderedPageBreak/>
              <w:t xml:space="preserve">TOOP </w:t>
            </w:r>
          </w:p>
        </w:tc>
        <w:tc>
          <w:tcPr>
            <w:tcW w:w="7371" w:type="dxa"/>
          </w:tcPr>
          <w:p w14:paraId="42EB1D9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The Once Only Project</w:t>
            </w:r>
          </w:p>
        </w:tc>
      </w:tr>
      <w:tr w:rsidR="00A6431B" w:rsidRPr="00B52B89" w14:paraId="72F13ABF" w14:textId="77777777" w:rsidTr="00A6431B">
        <w:tc>
          <w:tcPr>
            <w:tcW w:w="1701" w:type="dxa"/>
          </w:tcPr>
          <w:p w14:paraId="71A750E5"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ZKP</w:t>
            </w:r>
          </w:p>
        </w:tc>
        <w:tc>
          <w:tcPr>
            <w:tcW w:w="7371" w:type="dxa"/>
          </w:tcPr>
          <w:p w14:paraId="3AD75C00" w14:textId="77777777" w:rsidR="00A6431B" w:rsidRPr="00B52B89" w:rsidRDefault="00A6431B" w:rsidP="00A04203">
            <w:pPr>
              <w:pStyle w:val="Normale11pt"/>
              <w:rPr>
                <w:rFonts w:asciiTheme="minorHAnsi" w:hAnsiTheme="minorHAnsi" w:cstheme="minorHAnsi"/>
                <w:lang w:val="en-GB"/>
              </w:rPr>
            </w:pPr>
            <w:r w:rsidRPr="00B52B89">
              <w:rPr>
                <w:rFonts w:asciiTheme="minorHAnsi" w:hAnsiTheme="minorHAnsi" w:cstheme="minorHAnsi"/>
                <w:lang w:val="en-GB"/>
              </w:rPr>
              <w:t>Zero Knowledge Proof</w:t>
            </w:r>
          </w:p>
        </w:tc>
      </w:tr>
    </w:tbl>
    <w:p w14:paraId="3FF65248" w14:textId="194E974E" w:rsidR="00D12DA3" w:rsidRPr="00B52B89" w:rsidRDefault="00D12DA3" w:rsidP="00C503ED">
      <w:pPr>
        <w:rPr>
          <w:lang w:val="en-GB"/>
        </w:rPr>
      </w:pPr>
    </w:p>
    <w:p w14:paraId="770F3C90" w14:textId="77777777" w:rsidR="00C503ED" w:rsidRPr="00B52B89" w:rsidRDefault="00C503ED" w:rsidP="00C503ED">
      <w:pPr>
        <w:rPr>
          <w:lang w:val="en-GB"/>
        </w:rPr>
      </w:pPr>
    </w:p>
    <w:p w14:paraId="67BF6A9F" w14:textId="77777777" w:rsidR="00D12DA3" w:rsidRPr="00B52B89" w:rsidRDefault="00D12DA3" w:rsidP="00C503ED">
      <w:pPr>
        <w:pStyle w:val="Titel"/>
        <w:rPr>
          <w:lang w:val="en-GB"/>
        </w:rPr>
      </w:pPr>
      <w:bookmarkStart w:id="10" w:name="_Toc59118121"/>
      <w:r w:rsidRPr="00B52B89">
        <w:rPr>
          <w:lang w:val="en-GB"/>
        </w:rPr>
        <w:lastRenderedPageBreak/>
        <w:t>Executive Summary</w:t>
      </w:r>
      <w:bookmarkEnd w:id="10"/>
      <w:r w:rsidRPr="00B52B89">
        <w:rPr>
          <w:lang w:val="en-GB"/>
        </w:rPr>
        <w:t xml:space="preserve"> </w:t>
      </w:r>
    </w:p>
    <w:p w14:paraId="50E7E61B" w14:textId="7F39716D" w:rsidR="00E0028F" w:rsidRPr="00B52B89" w:rsidRDefault="00A34109" w:rsidP="00A34109">
      <w:pPr>
        <w:rPr>
          <w:lang w:val="en-GB"/>
        </w:rPr>
      </w:pPr>
      <w:r w:rsidRPr="00B52B89">
        <w:rPr>
          <w:lang w:val="en-GB"/>
        </w:rPr>
        <w:t>The Periodic Ethics Report assesses compliance of the DE4A project with ethical requirements</w:t>
      </w:r>
      <w:r w:rsidR="00E0028F" w:rsidRPr="00B52B89">
        <w:rPr>
          <w:lang w:val="en-GB"/>
        </w:rPr>
        <w:t>, taking into account European values and principles</w:t>
      </w:r>
      <w:r w:rsidR="00337692" w:rsidRPr="00B52B89">
        <w:rPr>
          <w:lang w:val="en-GB"/>
        </w:rPr>
        <w:t>, in particular for EU funded research projects</w:t>
      </w:r>
      <w:r w:rsidR="00E0028F" w:rsidRPr="00B52B89">
        <w:rPr>
          <w:lang w:val="en-GB"/>
        </w:rPr>
        <w:t>. This is the first iteration of the Ethics Report, describing ethical challenges</w:t>
      </w:r>
      <w:r w:rsidR="00AE22E3" w:rsidRPr="00B52B89">
        <w:rPr>
          <w:lang w:val="en-GB"/>
        </w:rPr>
        <w:t xml:space="preserve"> that the project faces,</w:t>
      </w:r>
      <w:r w:rsidR="00E0028F" w:rsidRPr="00B52B89">
        <w:rPr>
          <w:lang w:val="en-GB"/>
        </w:rPr>
        <w:t xml:space="preserve"> and </w:t>
      </w:r>
      <w:r w:rsidR="00BF7CE9" w:rsidRPr="00B52B89">
        <w:rPr>
          <w:lang w:val="en-GB"/>
        </w:rPr>
        <w:t xml:space="preserve">relevant </w:t>
      </w:r>
      <w:r w:rsidR="00E0028F" w:rsidRPr="00B52B89">
        <w:rPr>
          <w:lang w:val="en-GB"/>
        </w:rPr>
        <w:t xml:space="preserve">decisions taken </w:t>
      </w:r>
      <w:r w:rsidRPr="00B52B89">
        <w:rPr>
          <w:lang w:val="en-GB"/>
        </w:rPr>
        <w:t xml:space="preserve">within the first 12 months of the project. </w:t>
      </w:r>
    </w:p>
    <w:p w14:paraId="4B6DF153" w14:textId="6B26F73E" w:rsidR="00A34109" w:rsidRPr="00B52B89" w:rsidRDefault="00A34109" w:rsidP="00A34109">
      <w:pPr>
        <w:rPr>
          <w:lang w:val="en-GB"/>
        </w:rPr>
      </w:pPr>
      <w:r w:rsidRPr="00B52B89">
        <w:rPr>
          <w:lang w:val="en-GB"/>
        </w:rPr>
        <w:t>The report is based on the EU’s framework for Responsible Research and Innovation (RRI).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w:t>
      </w:r>
    </w:p>
    <w:p w14:paraId="03163216" w14:textId="4FB52370" w:rsidR="00A34109" w:rsidRPr="00B52B89" w:rsidRDefault="00A34109" w:rsidP="00A34109">
      <w:pPr>
        <w:rPr>
          <w:lang w:val="en-GB"/>
        </w:rPr>
      </w:pPr>
      <w:r w:rsidRPr="00B52B89">
        <w:rPr>
          <w:lang w:val="en-GB"/>
        </w:rPr>
        <w:t xml:space="preserve">Within this report, </w:t>
      </w:r>
      <w:r w:rsidR="00337692" w:rsidRPr="00B52B89">
        <w:rPr>
          <w:lang w:val="en-GB"/>
        </w:rPr>
        <w:t>the ethics</w:t>
      </w:r>
      <w:r w:rsidRPr="00B52B89">
        <w:rPr>
          <w:lang w:val="en-GB"/>
        </w:rPr>
        <w:t xml:space="preserve"> assessment focuses on the ambitions, realisations and foreseeable impacts of the </w:t>
      </w:r>
      <w:r w:rsidR="003318A2" w:rsidRPr="00B52B89">
        <w:rPr>
          <w:lang w:val="en-GB"/>
        </w:rPr>
        <w:t>DE4A</w:t>
      </w:r>
      <w:r w:rsidRPr="00B52B89">
        <w:rPr>
          <w:lang w:val="en-GB"/>
        </w:rPr>
        <w:t xml:space="preserve"> project</w:t>
      </w:r>
      <w:r w:rsidR="003318A2" w:rsidRPr="00B52B89">
        <w:rPr>
          <w:lang w:val="en-GB"/>
        </w:rPr>
        <w:t xml:space="preserve">, and more generally of the once-only principle as envisaged </w:t>
      </w:r>
      <w:r w:rsidR="007A74C0" w:rsidRPr="00B52B89">
        <w:rPr>
          <w:lang w:val="en-GB"/>
        </w:rPr>
        <w:t xml:space="preserve">under EU policies regarding the Single Digital Gateway. </w:t>
      </w:r>
      <w:r w:rsidRPr="00B52B89">
        <w:rPr>
          <w:lang w:val="en-GB"/>
        </w:rPr>
        <w:t xml:space="preserve">This first report focuses only on the first year of the project, </w:t>
      </w:r>
      <w:r w:rsidR="007A74C0" w:rsidRPr="00B52B89">
        <w:rPr>
          <w:lang w:val="en-GB"/>
        </w:rPr>
        <w:t>including scoping,</w:t>
      </w:r>
      <w:r w:rsidRPr="00B52B89">
        <w:rPr>
          <w:lang w:val="en-GB"/>
        </w:rPr>
        <w:t xml:space="preserve"> architectural design, planning and research. Impacts in practice cannot be observed</w:t>
      </w:r>
      <w:r w:rsidR="007A74C0" w:rsidRPr="00B52B89">
        <w:rPr>
          <w:lang w:val="en-GB"/>
        </w:rPr>
        <w:t xml:space="preserve"> or assessed</w:t>
      </w:r>
      <w:r w:rsidRPr="00B52B89">
        <w:rPr>
          <w:lang w:val="en-GB"/>
        </w:rPr>
        <w:t xml:space="preserve"> yet, as piloting has not yet been initiated. This report therefore assesses ethical compliance of current planning, and posits ethical requirements for the continuation of the project. Compliance with these requirements will be evaluated in the </w:t>
      </w:r>
      <w:r w:rsidR="007A74C0" w:rsidRPr="00B52B89">
        <w:rPr>
          <w:lang w:val="en-GB"/>
        </w:rPr>
        <w:t>future</w:t>
      </w:r>
      <w:r w:rsidRPr="00B52B89">
        <w:rPr>
          <w:lang w:val="en-GB"/>
        </w:rPr>
        <w:t xml:space="preserve"> Ethics Report</w:t>
      </w:r>
      <w:r w:rsidR="007A74C0" w:rsidRPr="00B52B89">
        <w:rPr>
          <w:lang w:val="en-GB"/>
        </w:rPr>
        <w:t>s</w:t>
      </w:r>
      <w:r w:rsidRPr="00B52B89">
        <w:rPr>
          <w:lang w:val="en-GB"/>
        </w:rPr>
        <w:t xml:space="preserve">.  </w:t>
      </w:r>
    </w:p>
    <w:p w14:paraId="79A43679" w14:textId="77F1B957" w:rsidR="00BF7CE9" w:rsidRPr="00B52B89" w:rsidRDefault="00BF7CE9" w:rsidP="00BF7CE9">
      <w:pPr>
        <w:rPr>
          <w:lang w:val="en-GB"/>
        </w:rPr>
      </w:pPr>
      <w:r w:rsidRPr="00B52B89">
        <w:rPr>
          <w:lang w:val="en-GB"/>
        </w:rPr>
        <w:t xml:space="preserve">Briefly summarised, based on the current ethics assessment, the DE4A project is largely in line with the EU’s ethical requirements. Two ethical challenges are identified which should be monitored and evaluated as priorities in the reminder of the project: </w:t>
      </w:r>
    </w:p>
    <w:p w14:paraId="2BCAB8AB" w14:textId="5E75D18B" w:rsidR="00BF7CE9" w:rsidRPr="00B52B89" w:rsidRDefault="00BF7CE9" w:rsidP="00BF7CE9">
      <w:pPr>
        <w:pStyle w:val="Lijstalinea"/>
        <w:numPr>
          <w:ilvl w:val="0"/>
          <w:numId w:val="37"/>
        </w:numPr>
        <w:spacing w:after="60"/>
        <w:rPr>
          <w:lang w:val="en-GB"/>
        </w:rPr>
      </w:pPr>
      <w:r w:rsidRPr="00B52B89">
        <w:rPr>
          <w:b/>
          <w:bCs/>
          <w:lang w:val="en-GB"/>
        </w:rPr>
        <w:t>Data protection</w:t>
      </w:r>
      <w:r w:rsidRPr="00B52B89">
        <w:rPr>
          <w:lang w:val="en-GB"/>
        </w:rPr>
        <w:t xml:space="preserve">. </w:t>
      </w:r>
      <w:r w:rsidR="00616321" w:rsidRPr="00B52B89">
        <w:rPr>
          <w:lang w:val="en-GB"/>
        </w:rPr>
        <w:t xml:space="preserve">The EU has a high bar for the protection of the fundamental right to protection of personal data, as enshrined in the Charter of Fundamental Rights and in the </w:t>
      </w:r>
      <w:r w:rsidRPr="00B52B89">
        <w:rPr>
          <w:lang w:val="en-GB"/>
        </w:rPr>
        <w:t>General Data Protection Regulation (GDPR)</w:t>
      </w:r>
      <w:r w:rsidR="00616321" w:rsidRPr="00B52B89">
        <w:rPr>
          <w:lang w:val="en-GB"/>
        </w:rPr>
        <w:t xml:space="preserve">, among other points. </w:t>
      </w:r>
      <w:r w:rsidRPr="00B52B89">
        <w:rPr>
          <w:lang w:val="en-GB"/>
        </w:rPr>
        <w:t xml:space="preserve">In order to respect the EU’s values of data protection (comprising also aspects of privacy protection), a data protection impact assessment (DPIA) should be conducted to ensure that the personal data of European citizens is respected. </w:t>
      </w:r>
      <w:r w:rsidR="00DC3222" w:rsidRPr="00B52B89">
        <w:rPr>
          <w:lang w:val="en-GB"/>
        </w:rPr>
        <w:t>While the European legal framework in relation to once-only</w:t>
      </w:r>
      <w:r w:rsidR="00001288" w:rsidRPr="00B52B89">
        <w:rPr>
          <w:lang w:val="en-GB"/>
        </w:rPr>
        <w:t xml:space="preserve"> exchanges</w:t>
      </w:r>
      <w:r w:rsidR="00DC3222" w:rsidRPr="00B52B89">
        <w:rPr>
          <w:lang w:val="en-GB"/>
        </w:rPr>
        <w:t xml:space="preserve"> provides a critical set of data protection constraints, it is not certain at this stage whether all DE4A piloting activities will remain strictly within the confin</w:t>
      </w:r>
      <w:r w:rsidR="00001288" w:rsidRPr="00B52B89">
        <w:rPr>
          <w:lang w:val="en-GB"/>
        </w:rPr>
        <w:t xml:space="preserve">es of that legislation. In particular when exploring innovative implementations of the once-only principle, a DPIA would be strongly recommended to mitigate data protection challenges. </w:t>
      </w:r>
    </w:p>
    <w:p w14:paraId="09B51073" w14:textId="015A648E" w:rsidR="00D749AF" w:rsidRPr="00B52B89" w:rsidRDefault="00444F76" w:rsidP="00704125">
      <w:pPr>
        <w:pStyle w:val="Lijstalinea"/>
        <w:numPr>
          <w:ilvl w:val="0"/>
          <w:numId w:val="37"/>
        </w:numPr>
        <w:spacing w:after="60"/>
        <w:rPr>
          <w:lang w:val="en-GB"/>
        </w:rPr>
      </w:pPr>
      <w:r w:rsidRPr="00B52B89">
        <w:rPr>
          <w:b/>
          <w:bCs/>
          <w:lang w:val="en-GB"/>
        </w:rPr>
        <w:t>Equality</w:t>
      </w:r>
      <w:r w:rsidR="00001288" w:rsidRPr="00B52B89">
        <w:rPr>
          <w:b/>
          <w:bCs/>
          <w:lang w:val="en-GB"/>
        </w:rPr>
        <w:t xml:space="preserve"> and </w:t>
      </w:r>
      <w:r w:rsidR="008D0CEC" w:rsidRPr="00B52B89">
        <w:rPr>
          <w:b/>
          <w:bCs/>
          <w:lang w:val="en-GB"/>
        </w:rPr>
        <w:t>citizen’s rights, including the right to good administration</w:t>
      </w:r>
      <w:r w:rsidR="00BF7CE9" w:rsidRPr="00B52B89">
        <w:rPr>
          <w:lang w:val="en-GB"/>
        </w:rPr>
        <w:t xml:space="preserve">. The </w:t>
      </w:r>
      <w:r w:rsidR="00001288" w:rsidRPr="00B52B89">
        <w:rPr>
          <w:lang w:val="en-GB"/>
        </w:rPr>
        <w:t xml:space="preserve">once-only principle, as envisaged in European law and in DE4A, relies on the voluntary participation of citizens and/or business. While this protects them against exchanges which are invisible or </w:t>
      </w:r>
      <w:r w:rsidR="00D57290">
        <w:rPr>
          <w:lang w:val="en-GB"/>
        </w:rPr>
        <w:t xml:space="preserve">not </w:t>
      </w:r>
      <w:r w:rsidR="00001288" w:rsidRPr="00B52B89">
        <w:rPr>
          <w:lang w:val="en-GB"/>
        </w:rPr>
        <w:t xml:space="preserve">transparent to them, </w:t>
      </w:r>
      <w:r w:rsidR="0069117B" w:rsidRPr="00B52B89">
        <w:rPr>
          <w:lang w:val="en-GB"/>
        </w:rPr>
        <w:t xml:space="preserve">it also implies that the benefits of the once-only principle </w:t>
      </w:r>
      <w:r w:rsidR="0002278E" w:rsidRPr="00B52B89">
        <w:rPr>
          <w:lang w:val="en-GB"/>
        </w:rPr>
        <w:t>are</w:t>
      </w:r>
      <w:r w:rsidR="0069117B" w:rsidRPr="00B52B89">
        <w:rPr>
          <w:lang w:val="en-GB"/>
        </w:rPr>
        <w:t xml:space="preserve"> only </w:t>
      </w:r>
      <w:r w:rsidR="0002278E" w:rsidRPr="00B52B89">
        <w:rPr>
          <w:lang w:val="en-GB"/>
        </w:rPr>
        <w:t xml:space="preserve">available to </w:t>
      </w:r>
      <w:r w:rsidR="0069117B" w:rsidRPr="00B52B89">
        <w:rPr>
          <w:lang w:val="en-GB"/>
        </w:rPr>
        <w:t>digitally literate persons</w:t>
      </w:r>
      <w:r w:rsidR="0002278E" w:rsidRPr="00B52B89">
        <w:rPr>
          <w:lang w:val="en-GB"/>
        </w:rPr>
        <w:t xml:space="preserve"> who are capable of requesting it</w:t>
      </w:r>
      <w:r w:rsidR="0069117B" w:rsidRPr="00B52B89">
        <w:rPr>
          <w:lang w:val="en-GB"/>
        </w:rPr>
        <w:t xml:space="preserve">, and that the individual interest takes precedence over societal interests. This is a valid policy choice, but it </w:t>
      </w:r>
      <w:r w:rsidR="00D749AF" w:rsidRPr="00B52B89">
        <w:rPr>
          <w:lang w:val="en-GB"/>
        </w:rPr>
        <w:t>is recommended to explore what the implications are, and</w:t>
      </w:r>
      <w:r w:rsidR="00161504" w:rsidRPr="00B52B89">
        <w:rPr>
          <w:lang w:val="en-GB"/>
        </w:rPr>
        <w:t xml:space="preserve"> to evaluate</w:t>
      </w:r>
      <w:r w:rsidR="00D749AF" w:rsidRPr="00B52B89">
        <w:rPr>
          <w:lang w:val="en-GB"/>
        </w:rPr>
        <w:t xml:space="preserve"> whether this </w:t>
      </w:r>
      <w:r w:rsidR="00161504" w:rsidRPr="00B52B89">
        <w:rPr>
          <w:lang w:val="en-GB"/>
        </w:rPr>
        <w:t>policy choice is</w:t>
      </w:r>
      <w:r w:rsidR="00D749AF" w:rsidRPr="00B52B89">
        <w:rPr>
          <w:lang w:val="en-GB"/>
        </w:rPr>
        <w:t xml:space="preserve"> ethically optimal.</w:t>
      </w:r>
    </w:p>
    <w:p w14:paraId="09851A05" w14:textId="0244B78A" w:rsidR="00BF7CE9" w:rsidRPr="00B52B89" w:rsidRDefault="00BF7CE9" w:rsidP="00D749AF">
      <w:pPr>
        <w:spacing w:after="60"/>
        <w:rPr>
          <w:lang w:val="en-GB"/>
        </w:rPr>
      </w:pPr>
      <w:r w:rsidRPr="00B52B89">
        <w:rPr>
          <w:lang w:val="en-GB"/>
        </w:rPr>
        <w:t xml:space="preserve">These priorities should continue to be promoted within the project, and future reports will re-evaluate whether the project is fully in line with these requirements. </w:t>
      </w:r>
    </w:p>
    <w:p w14:paraId="6921DA73" w14:textId="59C16B44" w:rsidR="00A34109" w:rsidRPr="00B52B89" w:rsidRDefault="00A34109" w:rsidP="00A34109">
      <w:pPr>
        <w:rPr>
          <w:lang w:val="en-GB"/>
        </w:rPr>
      </w:pPr>
    </w:p>
    <w:p w14:paraId="1661B07A" w14:textId="77777777" w:rsidR="00D12DA3" w:rsidRPr="00B52B89" w:rsidRDefault="00D12DA3" w:rsidP="00C503ED">
      <w:pPr>
        <w:pStyle w:val="Kop1"/>
        <w:rPr>
          <w:lang w:val="en-GB"/>
        </w:rPr>
      </w:pPr>
      <w:bookmarkStart w:id="11" w:name="_Toc59118122"/>
      <w:r w:rsidRPr="00B52B89">
        <w:rPr>
          <w:lang w:val="en-GB"/>
        </w:rPr>
        <w:lastRenderedPageBreak/>
        <w:t>Introduction</w:t>
      </w:r>
      <w:bookmarkEnd w:id="11"/>
      <w:r w:rsidRPr="00B52B89">
        <w:rPr>
          <w:lang w:val="en-GB"/>
        </w:rPr>
        <w:t xml:space="preserve"> </w:t>
      </w:r>
    </w:p>
    <w:p w14:paraId="3CBBE8E0" w14:textId="77777777" w:rsidR="00D12DA3" w:rsidRPr="00B52B89" w:rsidRDefault="00D12DA3" w:rsidP="00C503ED">
      <w:pPr>
        <w:pStyle w:val="Kop2"/>
        <w:rPr>
          <w:lang w:val="en-GB"/>
        </w:rPr>
      </w:pPr>
      <w:bookmarkStart w:id="12" w:name="_Toc59118123"/>
      <w:r w:rsidRPr="00B52B89">
        <w:rPr>
          <w:lang w:val="en-GB"/>
        </w:rPr>
        <w:t>Purpose of the document</w:t>
      </w:r>
      <w:bookmarkEnd w:id="12"/>
    </w:p>
    <w:p w14:paraId="6634BB6C" w14:textId="77777777" w:rsidR="00CB54C0" w:rsidRPr="00B52B89" w:rsidRDefault="007833C6" w:rsidP="007833C6">
      <w:pPr>
        <w:rPr>
          <w:lang w:val="en-GB"/>
        </w:rPr>
      </w:pPr>
      <w:r w:rsidRPr="00B52B89">
        <w:rPr>
          <w:lang w:val="en-GB"/>
        </w:rPr>
        <w:t xml:space="preserve">This first Periodic Ethics Report has been drafted with the objective of assessing compliance of the DE4A project with ethical requirements within the first 12 months of the </w:t>
      </w:r>
      <w:r w:rsidR="004E6F6C" w:rsidRPr="00B52B89">
        <w:rPr>
          <w:lang w:val="en-GB"/>
        </w:rPr>
        <w:t xml:space="preserve">DE4A </w:t>
      </w:r>
      <w:r w:rsidRPr="00B52B89">
        <w:rPr>
          <w:lang w:val="en-GB"/>
        </w:rPr>
        <w:t xml:space="preserve">project, and defining specific points of attention. Given the timing, this assessment focuses on the ambitions, realisations and foreseeable impacts of the </w:t>
      </w:r>
      <w:r w:rsidR="004E6F6C" w:rsidRPr="00B52B89">
        <w:rPr>
          <w:lang w:val="en-GB"/>
        </w:rPr>
        <w:t xml:space="preserve">DE4A </w:t>
      </w:r>
      <w:r w:rsidRPr="00B52B89">
        <w:rPr>
          <w:lang w:val="en-GB"/>
        </w:rPr>
        <w:t xml:space="preserve">project as such. </w:t>
      </w:r>
    </w:p>
    <w:p w14:paraId="3F0D23D9" w14:textId="6BC1B749" w:rsidR="007833C6" w:rsidRPr="00B52B89" w:rsidRDefault="007833C6" w:rsidP="007833C6">
      <w:pPr>
        <w:rPr>
          <w:lang w:val="en-GB"/>
        </w:rPr>
      </w:pPr>
      <w:r w:rsidRPr="00B52B89">
        <w:rPr>
          <w:lang w:val="en-GB"/>
        </w:rPr>
        <w:t xml:space="preserve">The scoping of the project </w:t>
      </w:r>
      <w:r w:rsidR="004E6F6C" w:rsidRPr="00B52B89">
        <w:rPr>
          <w:lang w:val="en-GB"/>
        </w:rPr>
        <w:t>was</w:t>
      </w:r>
      <w:r w:rsidRPr="00B52B89">
        <w:rPr>
          <w:lang w:val="en-GB"/>
        </w:rPr>
        <w:t xml:space="preserve"> taken </w:t>
      </w:r>
      <w:r w:rsidR="004E6F6C" w:rsidRPr="00B52B89">
        <w:rPr>
          <w:lang w:val="en-GB"/>
        </w:rPr>
        <w:t>as a baseline</w:t>
      </w:r>
      <w:r w:rsidRPr="00B52B89">
        <w:rPr>
          <w:lang w:val="en-GB"/>
        </w:rPr>
        <w:t xml:space="preserve">, based on the currently available architectural information and on the functional description of the pilots, as described in the project proposal (the Description of </w:t>
      </w:r>
      <w:r w:rsidR="00F86366">
        <w:rPr>
          <w:lang w:val="en-GB"/>
        </w:rPr>
        <w:t>Work</w:t>
      </w:r>
      <w:r w:rsidR="00B30D7C">
        <w:rPr>
          <w:lang w:val="en-GB"/>
        </w:rPr>
        <w:fldChar w:fldCharType="begin"/>
      </w:r>
      <w:r w:rsidR="00B30D7C">
        <w:rPr>
          <w:lang w:val="en-GB"/>
        </w:rPr>
        <w:instrText xml:space="preserve"> REF _Ref59117789 \r \h </w:instrText>
      </w:r>
      <w:r w:rsidR="00B30D7C">
        <w:rPr>
          <w:lang w:val="en-GB"/>
        </w:rPr>
      </w:r>
      <w:r w:rsidR="00B30D7C">
        <w:rPr>
          <w:lang w:val="en-GB"/>
        </w:rPr>
        <w:fldChar w:fldCharType="separate"/>
      </w:r>
      <w:r w:rsidR="00B30D7C">
        <w:rPr>
          <w:lang w:val="en-GB"/>
        </w:rPr>
        <w:t>[1]</w:t>
      </w:r>
      <w:r w:rsidR="00B30D7C">
        <w:rPr>
          <w:lang w:val="en-GB"/>
        </w:rPr>
        <w:fldChar w:fldCharType="end"/>
      </w:r>
      <w:r w:rsidRPr="00B52B89">
        <w:rPr>
          <w:lang w:val="en-GB"/>
        </w:rPr>
        <w:t xml:space="preserve">) and </w:t>
      </w:r>
      <w:r w:rsidR="00CB54C0" w:rsidRPr="00B52B89">
        <w:rPr>
          <w:lang w:val="en-GB"/>
        </w:rPr>
        <w:t xml:space="preserve">notably the following deliverables: </w:t>
      </w:r>
    </w:p>
    <w:p w14:paraId="1D46E5F3" w14:textId="77777777" w:rsidR="00CB54C0" w:rsidRPr="00B52B89" w:rsidRDefault="00CB54C0" w:rsidP="00CB54C0">
      <w:pPr>
        <w:pStyle w:val="Lijstalinea"/>
        <w:numPr>
          <w:ilvl w:val="0"/>
          <w:numId w:val="38"/>
        </w:numPr>
        <w:rPr>
          <w:lang w:val="en-GB"/>
        </w:rPr>
      </w:pPr>
      <w:r w:rsidRPr="00B52B89">
        <w:rPr>
          <w:lang w:val="en-GB"/>
        </w:rPr>
        <w:t>D1.1 Member state eGovernment Baseline</w:t>
      </w:r>
    </w:p>
    <w:p w14:paraId="43F05E0A" w14:textId="77777777" w:rsidR="00CB54C0" w:rsidRPr="00B52B89" w:rsidRDefault="00CB54C0" w:rsidP="00CB54C0">
      <w:pPr>
        <w:pStyle w:val="Lijstalinea"/>
        <w:numPr>
          <w:ilvl w:val="0"/>
          <w:numId w:val="38"/>
        </w:numPr>
        <w:rPr>
          <w:lang w:val="en-GB"/>
        </w:rPr>
      </w:pPr>
      <w:r w:rsidRPr="00B52B89">
        <w:rPr>
          <w:lang w:val="en-GB"/>
        </w:rPr>
        <w:t>D1.7 Legal, technical, cultural and managerial barriers</w:t>
      </w:r>
    </w:p>
    <w:p w14:paraId="77547966" w14:textId="77777777" w:rsidR="00CB54C0" w:rsidRPr="00B52B89" w:rsidRDefault="00CB54C0" w:rsidP="00CB54C0">
      <w:pPr>
        <w:pStyle w:val="Lijstalinea"/>
        <w:numPr>
          <w:ilvl w:val="0"/>
          <w:numId w:val="38"/>
        </w:numPr>
        <w:rPr>
          <w:lang w:val="en-GB"/>
        </w:rPr>
      </w:pPr>
      <w:r w:rsidRPr="00B52B89">
        <w:rPr>
          <w:lang w:val="en-GB"/>
        </w:rPr>
        <w:t>D2.1 Architecture Framework</w:t>
      </w:r>
    </w:p>
    <w:p w14:paraId="7EC2411A" w14:textId="77777777" w:rsidR="00CB54C0" w:rsidRPr="00B52B89" w:rsidRDefault="00CB54C0" w:rsidP="00CB54C0">
      <w:pPr>
        <w:pStyle w:val="Lijstalinea"/>
        <w:numPr>
          <w:ilvl w:val="0"/>
          <w:numId w:val="38"/>
        </w:numPr>
        <w:rPr>
          <w:lang w:val="en-GB"/>
        </w:rPr>
      </w:pPr>
      <w:r w:rsidRPr="00B52B89">
        <w:rPr>
          <w:lang w:val="en-GB"/>
        </w:rPr>
        <w:t>D2.4 Project Start Architecture (PSA), first iteration</w:t>
      </w:r>
    </w:p>
    <w:p w14:paraId="02E28FE3" w14:textId="14C2FACF" w:rsidR="00CB54C0" w:rsidRPr="00B52B89" w:rsidRDefault="00CB54C0" w:rsidP="00CB54C0">
      <w:pPr>
        <w:pStyle w:val="Lijstalinea"/>
        <w:numPr>
          <w:ilvl w:val="0"/>
          <w:numId w:val="38"/>
        </w:numPr>
        <w:rPr>
          <w:lang w:val="en-GB"/>
        </w:rPr>
      </w:pPr>
      <w:r w:rsidRPr="00B52B89">
        <w:rPr>
          <w:lang w:val="en-GB"/>
        </w:rPr>
        <w:t>D4.</w:t>
      </w:r>
      <w:r w:rsidR="00380213" w:rsidRPr="00B52B89">
        <w:rPr>
          <w:lang w:val="en-GB"/>
        </w:rPr>
        <w:t>1, D4.5 and 4.9, containing</w:t>
      </w:r>
      <w:r w:rsidRPr="00B52B89">
        <w:rPr>
          <w:lang w:val="en-GB"/>
        </w:rPr>
        <w:t xml:space="preserve"> </w:t>
      </w:r>
      <w:r w:rsidR="00380213" w:rsidRPr="00B52B89">
        <w:rPr>
          <w:lang w:val="en-GB"/>
        </w:rPr>
        <w:t>u</w:t>
      </w:r>
      <w:r w:rsidRPr="00B52B89">
        <w:rPr>
          <w:lang w:val="en-GB"/>
        </w:rPr>
        <w:t>se cases definition and requirements</w:t>
      </w:r>
      <w:r w:rsidR="00380213" w:rsidRPr="00B52B89">
        <w:rPr>
          <w:lang w:val="en-GB"/>
        </w:rPr>
        <w:t xml:space="preserve"> for the three piloting </w:t>
      </w:r>
      <w:r w:rsidR="005E0960" w:rsidRPr="00B52B89">
        <w:rPr>
          <w:lang w:val="en-GB"/>
        </w:rPr>
        <w:t>areas</w:t>
      </w:r>
    </w:p>
    <w:p w14:paraId="171C8270" w14:textId="16B88D2C" w:rsidR="007A7344" w:rsidRPr="00B52B89" w:rsidRDefault="007A7344" w:rsidP="00CB54C0">
      <w:pPr>
        <w:pStyle w:val="Lijstalinea"/>
        <w:numPr>
          <w:ilvl w:val="0"/>
          <w:numId w:val="38"/>
        </w:numPr>
        <w:rPr>
          <w:lang w:val="en-GB"/>
        </w:rPr>
      </w:pPr>
      <w:r w:rsidRPr="00B52B89">
        <w:rPr>
          <w:lang w:val="en-GB"/>
        </w:rPr>
        <w:t xml:space="preserve">D7.1 </w:t>
      </w:r>
      <w:r w:rsidR="007120A4" w:rsidRPr="00B52B89">
        <w:rPr>
          <w:lang w:val="en-GB"/>
        </w:rPr>
        <w:t>Overview of legal and ethical requirements</w:t>
      </w:r>
    </w:p>
    <w:p w14:paraId="6D61D2C5" w14:textId="456E2108" w:rsidR="00B60961" w:rsidRPr="00B52B89" w:rsidRDefault="005E0960" w:rsidP="007833C6">
      <w:pPr>
        <w:rPr>
          <w:lang w:val="en-GB"/>
        </w:rPr>
      </w:pPr>
      <w:r w:rsidRPr="00B52B89">
        <w:rPr>
          <w:lang w:val="en-GB"/>
        </w:rPr>
        <w:t>While</w:t>
      </w:r>
      <w:r w:rsidR="007833C6" w:rsidRPr="00B52B89">
        <w:rPr>
          <w:lang w:val="en-GB"/>
        </w:rPr>
        <w:t xml:space="preserve"> this assessment does not </w:t>
      </w:r>
      <w:r w:rsidRPr="00B52B89">
        <w:rPr>
          <w:lang w:val="en-GB"/>
        </w:rPr>
        <w:t xml:space="preserve">aim to </w:t>
      </w:r>
      <w:r w:rsidR="007833C6" w:rsidRPr="00B52B89">
        <w:rPr>
          <w:lang w:val="en-GB"/>
        </w:rPr>
        <w:t xml:space="preserve">evaluate the ethics behind existing EU or national policy and legislation outside of </w:t>
      </w:r>
      <w:r w:rsidRPr="00B52B89">
        <w:rPr>
          <w:lang w:val="en-GB"/>
        </w:rPr>
        <w:t xml:space="preserve">DE4A, it would not be feasible to </w:t>
      </w:r>
      <w:r w:rsidR="00B60961" w:rsidRPr="00B52B89">
        <w:rPr>
          <w:lang w:val="en-GB"/>
        </w:rPr>
        <w:t xml:space="preserve">assess ethics without considering the policy and legal choices made concerning the interpretation and scoping of the once-only concept. </w:t>
      </w:r>
      <w:r w:rsidR="00D90AF7" w:rsidRPr="00B52B89">
        <w:rPr>
          <w:lang w:val="en-GB"/>
        </w:rPr>
        <w:t xml:space="preserve">For that reason, this assessment report also considers the ethical implications of the once-only approach adopted by the </w:t>
      </w:r>
      <w:r w:rsidR="00A86961" w:rsidRPr="00B52B89">
        <w:rPr>
          <w:lang w:val="en-GB"/>
        </w:rPr>
        <w:t xml:space="preserve">Single Digital Gateway Regulation, and the exploration thereof in DE4A. </w:t>
      </w:r>
    </w:p>
    <w:p w14:paraId="08DA74F8" w14:textId="7F13D6E2" w:rsidR="00A86961" w:rsidRPr="00B52B89" w:rsidRDefault="009435E5" w:rsidP="007833C6">
      <w:pPr>
        <w:rPr>
          <w:lang w:val="en-GB" w:eastAsia="it-IT"/>
        </w:rPr>
      </w:pPr>
      <w:r w:rsidRPr="00B52B89">
        <w:rPr>
          <w:lang w:val="en-GB" w:eastAsia="it-IT"/>
        </w:rPr>
        <w:t>Pilots are organized across three different pilot streams: Studying Abroad, Doing Business Abroad, and Moving Abroad. In each stream, multiple use cases will be piloted, based on existing laws and administrative procedures. This report does not assess the ethics behind these use cases as such – it assumes that</w:t>
      </w:r>
      <w:r w:rsidR="00A6571A" w:rsidRPr="00B52B89">
        <w:rPr>
          <w:lang w:val="en-GB" w:eastAsia="it-IT"/>
        </w:rPr>
        <w:t xml:space="preserve"> existing</w:t>
      </w:r>
      <w:r w:rsidRPr="00B52B89">
        <w:rPr>
          <w:lang w:val="en-GB" w:eastAsia="it-IT"/>
        </w:rPr>
        <w:t xml:space="preserve"> Member State and EU laws and policies relating to </w:t>
      </w:r>
      <w:r w:rsidR="00A6571A" w:rsidRPr="00B52B89">
        <w:rPr>
          <w:lang w:val="en-GB" w:eastAsia="it-IT"/>
        </w:rPr>
        <w:t xml:space="preserve">cross border mobility are ethical, or at least that the ethics behind these laws and policies do not require assessment within DE4A. </w:t>
      </w:r>
    </w:p>
    <w:p w14:paraId="38FA44E1" w14:textId="09ADFCDE" w:rsidR="00D749AF" w:rsidRPr="00B52B89" w:rsidRDefault="00A6571A" w:rsidP="007833C6">
      <w:pPr>
        <w:rPr>
          <w:lang w:val="en-GB"/>
        </w:rPr>
      </w:pPr>
      <w:r w:rsidRPr="00B52B89">
        <w:rPr>
          <w:lang w:val="en-GB"/>
        </w:rPr>
        <w:t>T</w:t>
      </w:r>
      <w:r w:rsidR="007833C6" w:rsidRPr="00B52B89">
        <w:rPr>
          <w:lang w:val="en-GB"/>
        </w:rPr>
        <w:t xml:space="preserve">he report </w:t>
      </w:r>
      <w:r w:rsidRPr="00B52B89">
        <w:rPr>
          <w:lang w:val="en-GB"/>
        </w:rPr>
        <w:t>therefore takes as a baseline</w:t>
      </w:r>
      <w:r w:rsidR="007833C6" w:rsidRPr="00B52B89">
        <w:rPr>
          <w:lang w:val="en-GB"/>
        </w:rPr>
        <w:t xml:space="preserve"> that existing EU and national </w:t>
      </w:r>
      <w:r w:rsidRPr="00B52B89">
        <w:rPr>
          <w:lang w:val="en-GB"/>
        </w:rPr>
        <w:t xml:space="preserve">laws and </w:t>
      </w:r>
      <w:r w:rsidR="007833C6" w:rsidRPr="00B52B89">
        <w:rPr>
          <w:lang w:val="en-GB"/>
        </w:rPr>
        <w:t xml:space="preserve">policies related to the use cases are ethically sound, and that this report should not evaluate or criticise these. The question assessed in this report is whether the choices that will be made by the </w:t>
      </w:r>
      <w:r w:rsidRPr="00B52B89">
        <w:rPr>
          <w:lang w:val="en-GB"/>
        </w:rPr>
        <w:t>DE4A</w:t>
      </w:r>
      <w:r w:rsidR="007833C6" w:rsidRPr="00B52B89">
        <w:rPr>
          <w:lang w:val="en-GB"/>
        </w:rPr>
        <w:t xml:space="preserve"> project are ethically justifiable and in line with the EU’s moral values.</w:t>
      </w:r>
    </w:p>
    <w:p w14:paraId="0E57B31B" w14:textId="77777777" w:rsidR="00D749AF" w:rsidRPr="00B52B89" w:rsidRDefault="00D749AF" w:rsidP="00C503ED">
      <w:pPr>
        <w:rPr>
          <w:lang w:val="en-GB"/>
        </w:rPr>
      </w:pPr>
    </w:p>
    <w:p w14:paraId="1A958925" w14:textId="77777777" w:rsidR="00D12DA3" w:rsidRPr="00B52B89" w:rsidRDefault="00D12DA3" w:rsidP="00C503ED">
      <w:pPr>
        <w:pStyle w:val="Kop2"/>
        <w:rPr>
          <w:lang w:val="en-GB"/>
        </w:rPr>
      </w:pPr>
      <w:bookmarkStart w:id="13" w:name="_Toc59118124"/>
      <w:r w:rsidRPr="00B52B89">
        <w:rPr>
          <w:lang w:val="en-GB"/>
        </w:rPr>
        <w:t>Structure of the document</w:t>
      </w:r>
      <w:bookmarkEnd w:id="13"/>
    </w:p>
    <w:p w14:paraId="75BB2123" w14:textId="1DD0EFE9" w:rsidR="00D12DA3" w:rsidRPr="00B52B89" w:rsidRDefault="00D12DA3" w:rsidP="00C503ED">
      <w:pPr>
        <w:rPr>
          <w:lang w:val="en-GB"/>
        </w:rPr>
      </w:pPr>
      <w:r w:rsidRPr="00B52B89">
        <w:rPr>
          <w:lang w:val="en-GB"/>
        </w:rPr>
        <w:t xml:space="preserve">This document is divided </w:t>
      </w:r>
      <w:r w:rsidR="0072037A" w:rsidRPr="00B52B89">
        <w:rPr>
          <w:lang w:val="en-GB"/>
        </w:rPr>
        <w:t xml:space="preserve">into </w:t>
      </w:r>
      <w:r w:rsidR="00D755D7" w:rsidRPr="00B52B89">
        <w:rPr>
          <w:lang w:val="en-GB"/>
        </w:rPr>
        <w:t>four</w:t>
      </w:r>
      <w:r w:rsidRPr="00B52B89">
        <w:rPr>
          <w:lang w:val="en-GB"/>
        </w:rPr>
        <w:t xml:space="preserve"> main sections:</w:t>
      </w:r>
    </w:p>
    <w:p w14:paraId="3ECDEC4D" w14:textId="28BD89B6" w:rsidR="0024791F" w:rsidRPr="00B52B89" w:rsidRDefault="00D755D7" w:rsidP="00FD1A74">
      <w:pPr>
        <w:pStyle w:val="Bullet1"/>
        <w:rPr>
          <w:lang w:val="en-GB"/>
        </w:rPr>
      </w:pPr>
      <w:r w:rsidRPr="00B52B89">
        <w:rPr>
          <w:lang w:val="en-GB"/>
        </w:rPr>
        <w:t xml:space="preserve">Section 2 </w:t>
      </w:r>
      <w:r w:rsidR="0024791F" w:rsidRPr="00B52B89">
        <w:rPr>
          <w:lang w:val="en-GB"/>
        </w:rPr>
        <w:t>explains the basic methodology of this assessment</w:t>
      </w:r>
      <w:r w:rsidR="009678E7" w:rsidRPr="00B52B89">
        <w:rPr>
          <w:lang w:val="en-GB"/>
        </w:rPr>
        <w:t xml:space="preserve">, </w:t>
      </w:r>
      <w:r w:rsidR="0024791F" w:rsidRPr="00B52B89">
        <w:rPr>
          <w:lang w:val="en-GB"/>
        </w:rPr>
        <w:t>notably the use of Value Sensitive Design techniques and the moral values to be assessed in particular;</w:t>
      </w:r>
    </w:p>
    <w:p w14:paraId="71B12D6F" w14:textId="7B4A6041" w:rsidR="009678E7" w:rsidRPr="00B52B89" w:rsidRDefault="0024791F" w:rsidP="0024791F">
      <w:pPr>
        <w:pStyle w:val="Bullet1"/>
        <w:rPr>
          <w:lang w:val="en-GB"/>
        </w:rPr>
      </w:pPr>
      <w:r w:rsidRPr="00B52B89">
        <w:rPr>
          <w:lang w:val="en-GB"/>
        </w:rPr>
        <w:t xml:space="preserve">Section 3 </w:t>
      </w:r>
      <w:r w:rsidR="00CF6C3A" w:rsidRPr="00B52B89">
        <w:rPr>
          <w:lang w:val="en-GB"/>
        </w:rPr>
        <w:t xml:space="preserve">describes the object of the assessment, namely </w:t>
      </w:r>
      <w:r w:rsidRPr="00B52B89">
        <w:rPr>
          <w:lang w:val="en-GB"/>
        </w:rPr>
        <w:t>the once-only principle at the conceptual and architectural level</w:t>
      </w:r>
      <w:r w:rsidR="009678E7" w:rsidRPr="00B52B89">
        <w:rPr>
          <w:lang w:val="en-GB"/>
        </w:rPr>
        <w:t>;</w:t>
      </w:r>
    </w:p>
    <w:p w14:paraId="08B3CCD6" w14:textId="77777777" w:rsidR="009678E7" w:rsidRPr="00B52B89" w:rsidRDefault="009678E7" w:rsidP="0024791F">
      <w:pPr>
        <w:pStyle w:val="Bullet1"/>
        <w:rPr>
          <w:lang w:val="en-GB"/>
        </w:rPr>
      </w:pPr>
      <w:r w:rsidRPr="00B52B89">
        <w:rPr>
          <w:lang w:val="en-GB"/>
        </w:rPr>
        <w:t xml:space="preserve">Section 4 briefly describes the </w:t>
      </w:r>
      <w:r w:rsidR="0024791F" w:rsidRPr="00B52B89">
        <w:rPr>
          <w:lang w:val="en-GB"/>
        </w:rPr>
        <w:t xml:space="preserve">choices made by DE4A in particular. </w:t>
      </w:r>
    </w:p>
    <w:p w14:paraId="13FFC5B6" w14:textId="0C4C4570" w:rsidR="001E3C23" w:rsidRPr="00B52B89" w:rsidRDefault="0024791F" w:rsidP="009678E7">
      <w:pPr>
        <w:pStyle w:val="Bullet1"/>
        <w:rPr>
          <w:lang w:val="en-GB"/>
        </w:rPr>
      </w:pPr>
      <w:r w:rsidRPr="00B52B89">
        <w:rPr>
          <w:lang w:val="en-GB"/>
        </w:rPr>
        <w:t xml:space="preserve">Conclusions and focus points for attention are then presented in </w:t>
      </w:r>
      <w:r w:rsidR="009678E7" w:rsidRPr="00B52B89">
        <w:rPr>
          <w:lang w:val="en-GB"/>
        </w:rPr>
        <w:t>Section 5</w:t>
      </w:r>
      <w:r w:rsidRPr="00B52B89">
        <w:rPr>
          <w:lang w:val="en-GB"/>
        </w:rPr>
        <w:t>.</w:t>
      </w:r>
    </w:p>
    <w:p w14:paraId="2CED987F" w14:textId="6A748E74" w:rsidR="00D12DA3" w:rsidRPr="00B52B89" w:rsidRDefault="00892917" w:rsidP="00D5459B">
      <w:pPr>
        <w:pStyle w:val="Kop1"/>
        <w:rPr>
          <w:lang w:val="en-GB"/>
        </w:rPr>
      </w:pPr>
      <w:bookmarkStart w:id="14" w:name="_Toc59118125"/>
      <w:r w:rsidRPr="00B52B89">
        <w:rPr>
          <w:lang w:val="en-GB"/>
        </w:rPr>
        <w:lastRenderedPageBreak/>
        <w:t>Methodology of the ethics assessment</w:t>
      </w:r>
      <w:bookmarkEnd w:id="14"/>
    </w:p>
    <w:p w14:paraId="7673607D" w14:textId="77777777" w:rsidR="00177589" w:rsidRPr="00B52B89" w:rsidRDefault="00177589" w:rsidP="00177589">
      <w:pPr>
        <w:pStyle w:val="Kop2"/>
        <w:rPr>
          <w:lang w:val="en-GB"/>
        </w:rPr>
      </w:pPr>
      <w:bookmarkStart w:id="15" w:name="_Toc36421349"/>
      <w:bookmarkStart w:id="16" w:name="_Toc59118126"/>
      <w:r w:rsidRPr="00B52B89">
        <w:rPr>
          <w:lang w:val="en-GB"/>
        </w:rPr>
        <w:t>Responsible Research and Innovation and Value Sensitive Design</w:t>
      </w:r>
      <w:bookmarkEnd w:id="15"/>
      <w:bookmarkEnd w:id="16"/>
    </w:p>
    <w:p w14:paraId="7A0ED14E" w14:textId="2C34BCB9" w:rsidR="00177589" w:rsidRPr="00B52B89" w:rsidRDefault="00177589" w:rsidP="00177589">
      <w:pPr>
        <w:rPr>
          <w:lang w:val="en-GB"/>
        </w:rPr>
      </w:pPr>
      <w:r w:rsidRPr="00B52B89">
        <w:rPr>
          <w:lang w:val="en-GB"/>
        </w:rPr>
        <w:t>Methodologically, the report is based on the EU’s framework for Responsible Research and Innovation (RRI)</w:t>
      </w:r>
      <w:r w:rsidR="00B30D7C">
        <w:rPr>
          <w:lang w:val="en-GB"/>
        </w:rPr>
        <w:fldChar w:fldCharType="begin"/>
      </w:r>
      <w:r w:rsidR="00B30D7C">
        <w:rPr>
          <w:lang w:val="en-GB"/>
        </w:rPr>
        <w:instrText xml:space="preserve"> REF _Ref59117811 \r \h </w:instrText>
      </w:r>
      <w:r w:rsidR="00B30D7C">
        <w:rPr>
          <w:lang w:val="en-GB"/>
        </w:rPr>
      </w:r>
      <w:r w:rsidR="00B30D7C">
        <w:rPr>
          <w:lang w:val="en-GB"/>
        </w:rPr>
        <w:fldChar w:fldCharType="separate"/>
      </w:r>
      <w:r w:rsidR="00B30D7C">
        <w:rPr>
          <w:lang w:val="en-GB"/>
        </w:rPr>
        <w:t>[2]</w:t>
      </w:r>
      <w:r w:rsidR="00B30D7C">
        <w:rPr>
          <w:lang w:val="en-GB"/>
        </w:rPr>
        <w:fldChar w:fldCharType="end"/>
      </w:r>
      <w:r w:rsidRPr="00B52B89">
        <w:rPr>
          <w:lang w:val="en-GB"/>
        </w:rPr>
        <w:t>. As described by the Commission,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w:t>
      </w:r>
    </w:p>
    <w:p w14:paraId="25808497" w14:textId="74E88F8A" w:rsidR="00177589" w:rsidRPr="00B52B89" w:rsidRDefault="00177589" w:rsidP="00177589">
      <w:pPr>
        <w:rPr>
          <w:lang w:val="en-GB"/>
        </w:rPr>
      </w:pPr>
      <w:r w:rsidRPr="00B52B89">
        <w:rPr>
          <w:lang w:val="en-GB"/>
        </w:rPr>
        <w:t>The objective of the ethics tasks in the DE4A project is to ensure that the innovation brought about by the project is in line with European ethics and moral values. This is done by applying the theory of Value Sensitive Design</w:t>
      </w:r>
      <w:r w:rsidR="003666E4">
        <w:rPr>
          <w:lang w:val="en-GB"/>
        </w:rPr>
        <w:fldChar w:fldCharType="begin"/>
      </w:r>
      <w:r w:rsidR="003666E4">
        <w:rPr>
          <w:lang w:val="en-GB"/>
        </w:rPr>
        <w:instrText xml:space="preserve"> REF _Ref59117869 \r \h </w:instrText>
      </w:r>
      <w:r w:rsidR="003666E4">
        <w:rPr>
          <w:lang w:val="en-GB"/>
        </w:rPr>
      </w:r>
      <w:r w:rsidR="003666E4">
        <w:rPr>
          <w:lang w:val="en-GB"/>
        </w:rPr>
        <w:fldChar w:fldCharType="separate"/>
      </w:r>
      <w:r w:rsidR="003666E4">
        <w:rPr>
          <w:lang w:val="en-GB"/>
        </w:rPr>
        <w:t>[3]</w:t>
      </w:r>
      <w:r w:rsidR="003666E4">
        <w:rPr>
          <w:lang w:val="en-GB"/>
        </w:rPr>
        <w:fldChar w:fldCharType="end"/>
      </w:r>
      <w:r w:rsidRPr="00B52B89">
        <w:rPr>
          <w:lang w:val="en-GB"/>
        </w:rPr>
        <w:t xml:space="preserve">, an approach which aims to integrate a wide range of human and moral values into the design of (information) technology. </w:t>
      </w:r>
    </w:p>
    <w:p w14:paraId="4E6B5405" w14:textId="3D313945" w:rsidR="00177589" w:rsidRPr="00B52B89" w:rsidRDefault="00177589" w:rsidP="00177589">
      <w:pPr>
        <w:rPr>
          <w:lang w:val="en-GB"/>
        </w:rPr>
      </w:pPr>
      <w:r w:rsidRPr="00B52B89">
        <w:rPr>
          <w:lang w:val="en-GB"/>
        </w:rPr>
        <w:t xml:space="preserve">In other words, Value Sensitive Design implies that a normative framework is defined, and that the designers of a system – in this case the </w:t>
      </w:r>
      <w:r w:rsidR="009D4C2D" w:rsidRPr="00B52B89">
        <w:rPr>
          <w:lang w:val="en-GB"/>
        </w:rPr>
        <w:t xml:space="preserve">DE4A </w:t>
      </w:r>
      <w:r w:rsidRPr="00B52B89">
        <w:rPr>
          <w:lang w:val="en-GB"/>
        </w:rPr>
        <w:t xml:space="preserve">consortium – integrate this framework into their work, thus recognising that systems are rarely ethically neutral, and that human well-being, human dignity, justice, welfare, and human rights can be served by integrating them into technological design. </w:t>
      </w:r>
    </w:p>
    <w:p w14:paraId="06832261" w14:textId="03D30948" w:rsidR="00177589" w:rsidRPr="00B52B89" w:rsidRDefault="00177589" w:rsidP="00177589">
      <w:pPr>
        <w:rPr>
          <w:lang w:val="en-GB"/>
        </w:rPr>
      </w:pPr>
      <w:r w:rsidRPr="00B52B89">
        <w:rPr>
          <w:lang w:val="en-GB"/>
        </w:rPr>
        <w:t xml:space="preserve">Therefore, as a first step, a usable normative framework must be established for the </w:t>
      </w:r>
      <w:r w:rsidR="009D4C2D" w:rsidRPr="00B52B89">
        <w:rPr>
          <w:lang w:val="en-GB"/>
        </w:rPr>
        <w:t xml:space="preserve">DE4A </w:t>
      </w:r>
      <w:r w:rsidRPr="00B52B89">
        <w:rPr>
          <w:lang w:val="en-GB"/>
        </w:rPr>
        <w:t xml:space="preserve">project, and specific ethics requirement must be derived on the basis of this framework. Thereafter, we can assess to what extent the </w:t>
      </w:r>
      <w:r w:rsidR="009D4C2D" w:rsidRPr="00B52B89">
        <w:rPr>
          <w:lang w:val="en-GB"/>
        </w:rPr>
        <w:t xml:space="preserve">DE4A </w:t>
      </w:r>
      <w:r w:rsidRPr="00B52B89">
        <w:rPr>
          <w:lang w:val="en-GB"/>
        </w:rPr>
        <w:t xml:space="preserve">project already complies, and which requirements warrant particular attention in the future. </w:t>
      </w:r>
    </w:p>
    <w:p w14:paraId="6FCA9F8E" w14:textId="77777777" w:rsidR="00177589" w:rsidRPr="00B52B89" w:rsidRDefault="00177589" w:rsidP="00177589">
      <w:pPr>
        <w:rPr>
          <w:lang w:val="en-GB"/>
        </w:rPr>
      </w:pPr>
    </w:p>
    <w:p w14:paraId="4B57ECE4" w14:textId="76477EDD" w:rsidR="00177589" w:rsidRPr="00B52B89" w:rsidRDefault="009D4C2D" w:rsidP="00177589">
      <w:pPr>
        <w:pStyle w:val="Kop2"/>
        <w:rPr>
          <w:lang w:val="en-GB"/>
        </w:rPr>
      </w:pPr>
      <w:bookmarkStart w:id="17" w:name="_Toc36421350"/>
      <w:bookmarkStart w:id="18" w:name="_Toc59118127"/>
      <w:r w:rsidRPr="00B52B89">
        <w:rPr>
          <w:lang w:val="en-GB"/>
        </w:rPr>
        <w:t>DE4A</w:t>
      </w:r>
      <w:r w:rsidR="00177589" w:rsidRPr="00B52B89">
        <w:rPr>
          <w:lang w:val="en-GB"/>
        </w:rPr>
        <w:t>’s normative framework and ethics requirements</w:t>
      </w:r>
      <w:bookmarkEnd w:id="17"/>
      <w:bookmarkEnd w:id="18"/>
    </w:p>
    <w:p w14:paraId="1CE31D1A" w14:textId="798837A8" w:rsidR="00177589" w:rsidRPr="00B52B89" w:rsidRDefault="00177589" w:rsidP="00177589">
      <w:pPr>
        <w:rPr>
          <w:lang w:val="en-GB"/>
        </w:rPr>
      </w:pPr>
      <w:r w:rsidRPr="00B52B89">
        <w:rPr>
          <w:rFonts w:asciiTheme="minorHAnsi" w:hAnsiTheme="minorHAnsi"/>
          <w:lang w:val="en-GB"/>
        </w:rPr>
        <w:t xml:space="preserve">Any ethics evaluation requires an explication of the normative framework against which the anticipated innovation is to be assessed. The </w:t>
      </w:r>
      <w:r w:rsidR="009D4C2D" w:rsidRPr="00B52B89">
        <w:rPr>
          <w:lang w:val="en-GB"/>
        </w:rPr>
        <w:t xml:space="preserve">DE4A </w:t>
      </w:r>
      <w:r w:rsidRPr="00B52B89">
        <w:rPr>
          <w:rFonts w:asciiTheme="minorHAnsi" w:hAnsiTheme="minorHAnsi"/>
          <w:lang w:val="en-GB"/>
        </w:rPr>
        <w:t xml:space="preserve">Description of the Action already makes it clear that the central ethical concern is compliance with the fundamental right to data protection. More broadly however, this report assesses the extent to which the project complies with European values as enshrined in the </w:t>
      </w:r>
      <w:r w:rsidRPr="00B52B89">
        <w:rPr>
          <w:lang w:val="en-GB" w:eastAsia="de-DE"/>
        </w:rPr>
        <w:t>Charter of Fundamental Rights of the European Union</w:t>
      </w:r>
      <w:r w:rsidRPr="00B52B89">
        <w:rPr>
          <w:lang w:val="en-GB"/>
        </w:rPr>
        <w:t xml:space="preserve"> – which includes, but is not limited to, the right to data protection and privacy. </w:t>
      </w:r>
    </w:p>
    <w:p w14:paraId="4FE040A4" w14:textId="77777777" w:rsidR="00177589" w:rsidRPr="00B52B89" w:rsidRDefault="00177589" w:rsidP="00177589">
      <w:pPr>
        <w:rPr>
          <w:rFonts w:asciiTheme="minorHAnsi" w:hAnsiTheme="minorHAnsi"/>
          <w:lang w:val="en-GB"/>
        </w:rPr>
      </w:pPr>
      <w:r w:rsidRPr="00B52B89">
        <w:rPr>
          <w:rFonts w:asciiTheme="minorHAnsi" w:hAnsiTheme="minorHAnsi"/>
          <w:lang w:val="en-GB"/>
        </w:rPr>
        <w:t xml:space="preserve">With respect to </w:t>
      </w:r>
      <w:r w:rsidRPr="00B52B89">
        <w:rPr>
          <w:rFonts w:asciiTheme="minorHAnsi" w:hAnsiTheme="minorHAnsi"/>
          <w:b/>
          <w:bCs/>
          <w:lang w:val="en-GB"/>
        </w:rPr>
        <w:t>data protection and privacy</w:t>
      </w:r>
      <w:r w:rsidRPr="00B52B89">
        <w:rPr>
          <w:rFonts w:asciiTheme="minorHAnsi" w:hAnsiTheme="minorHAnsi"/>
          <w:lang w:val="en-GB"/>
        </w:rPr>
        <w:t xml:space="preserve">, the OOP must be implemented in a way that safeguards these fundamental rights for natural persons. As stated in the General Data Protection Regulation (GDPR), this implies compliance with the principles of: </w:t>
      </w:r>
    </w:p>
    <w:p w14:paraId="691CB761"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lawfulness, fairness and transparency</w:t>
      </w:r>
      <w:r w:rsidRPr="00B52B89">
        <w:rPr>
          <w:rFonts w:asciiTheme="minorHAnsi" w:hAnsiTheme="minorHAnsi"/>
          <w:lang w:val="en-GB"/>
        </w:rPr>
        <w:t>;</w:t>
      </w:r>
    </w:p>
    <w:p w14:paraId="0DB40259"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purpose limitation</w:t>
      </w:r>
      <w:r w:rsidRPr="00B52B89">
        <w:rPr>
          <w:rFonts w:asciiTheme="minorHAnsi" w:hAnsiTheme="minorHAnsi"/>
          <w:lang w:val="en-GB"/>
        </w:rPr>
        <w:t>;</w:t>
      </w:r>
    </w:p>
    <w:p w14:paraId="4DCAB858"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data minimisation</w:t>
      </w:r>
      <w:r w:rsidRPr="00B52B89">
        <w:rPr>
          <w:rFonts w:asciiTheme="minorHAnsi" w:hAnsiTheme="minorHAnsi"/>
          <w:lang w:val="en-GB"/>
        </w:rPr>
        <w:t>;</w:t>
      </w:r>
    </w:p>
    <w:p w14:paraId="750EE1A8"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accuracy</w:t>
      </w:r>
      <w:r w:rsidRPr="00B52B89">
        <w:rPr>
          <w:rFonts w:asciiTheme="minorHAnsi" w:hAnsiTheme="minorHAnsi"/>
          <w:lang w:val="en-GB"/>
        </w:rPr>
        <w:t>;</w:t>
      </w:r>
    </w:p>
    <w:p w14:paraId="56F3D421"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storage limitation</w:t>
      </w:r>
      <w:r w:rsidRPr="00B52B89">
        <w:rPr>
          <w:rFonts w:asciiTheme="minorHAnsi" w:hAnsiTheme="minorHAnsi"/>
          <w:lang w:val="en-GB"/>
        </w:rPr>
        <w:t>;</w:t>
      </w:r>
    </w:p>
    <w:p w14:paraId="631DD79E"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integrity and confidentiality</w:t>
      </w:r>
      <w:r w:rsidRPr="00B52B89">
        <w:rPr>
          <w:rFonts w:asciiTheme="minorHAnsi" w:hAnsiTheme="minorHAnsi"/>
          <w:lang w:val="en-GB"/>
        </w:rPr>
        <w:t>;</w:t>
      </w:r>
    </w:p>
    <w:p w14:paraId="0AE5BC3E" w14:textId="77777777" w:rsidR="00177589" w:rsidRPr="00B52B89" w:rsidRDefault="00177589" w:rsidP="00177589">
      <w:pPr>
        <w:rPr>
          <w:rFonts w:asciiTheme="minorHAnsi" w:hAnsiTheme="minorHAnsi"/>
          <w:lang w:val="en-GB"/>
        </w:rPr>
      </w:pPr>
      <w:r w:rsidRPr="00B52B89">
        <w:rPr>
          <w:rFonts w:asciiTheme="minorHAnsi" w:hAnsiTheme="minorHAnsi"/>
          <w:lang w:val="en-GB"/>
        </w:rPr>
        <w:t>o</w:t>
      </w:r>
      <w:r w:rsidRPr="00B52B89">
        <w:rPr>
          <w:rFonts w:asciiTheme="minorHAnsi" w:hAnsiTheme="minorHAnsi"/>
          <w:lang w:val="en-GB"/>
        </w:rPr>
        <w:tab/>
      </w:r>
      <w:r w:rsidRPr="00B52B89">
        <w:rPr>
          <w:rFonts w:asciiTheme="minorHAnsi" w:hAnsiTheme="minorHAnsi"/>
          <w:b/>
          <w:bCs/>
          <w:lang w:val="en-GB"/>
        </w:rPr>
        <w:t>accountability</w:t>
      </w:r>
      <w:r w:rsidRPr="00B52B89">
        <w:rPr>
          <w:rFonts w:asciiTheme="minorHAnsi" w:hAnsiTheme="minorHAnsi"/>
          <w:lang w:val="en-GB"/>
        </w:rPr>
        <w:t>.</w:t>
      </w:r>
    </w:p>
    <w:p w14:paraId="2A7342F5" w14:textId="77777777" w:rsidR="00177589" w:rsidRPr="00B52B89" w:rsidRDefault="00177589" w:rsidP="00177589">
      <w:pPr>
        <w:rPr>
          <w:lang w:val="en-GB"/>
        </w:rPr>
      </w:pPr>
    </w:p>
    <w:p w14:paraId="22DC7FD5" w14:textId="77777777" w:rsidR="00177589" w:rsidRPr="00B52B89" w:rsidRDefault="00177589" w:rsidP="00177589">
      <w:pPr>
        <w:rPr>
          <w:lang w:val="en-GB"/>
        </w:rPr>
      </w:pPr>
      <w:r w:rsidRPr="00B52B89">
        <w:rPr>
          <w:lang w:val="en-GB"/>
        </w:rPr>
        <w:t xml:space="preserve">However, the remit of ethics and the scope of European values is broader than data protection and privacy alone. The Charter applies a structure of six value domains, each of which warrant specific scrutiny in this project: </w:t>
      </w:r>
    </w:p>
    <w:p w14:paraId="0020C528" w14:textId="77777777" w:rsidR="00177589" w:rsidRPr="00B52B89" w:rsidRDefault="00177589" w:rsidP="00177589">
      <w:pPr>
        <w:pStyle w:val="Lijstalinea"/>
        <w:numPr>
          <w:ilvl w:val="0"/>
          <w:numId w:val="40"/>
        </w:numPr>
        <w:spacing w:after="60"/>
        <w:rPr>
          <w:lang w:val="en-GB"/>
        </w:rPr>
      </w:pPr>
      <w:r w:rsidRPr="00B52B89">
        <w:rPr>
          <w:b/>
          <w:bCs/>
          <w:lang w:val="en-GB"/>
        </w:rPr>
        <w:lastRenderedPageBreak/>
        <w:t>Dignity</w:t>
      </w:r>
      <w:r w:rsidRPr="00B52B89">
        <w:rPr>
          <w:lang w:val="en-GB"/>
        </w:rPr>
        <w:t>, notably individuals’ right to be secure in their physical and mental integrity.</w:t>
      </w:r>
    </w:p>
    <w:p w14:paraId="04383A8B" w14:textId="77777777" w:rsidR="00177589" w:rsidRPr="00B52B89" w:rsidRDefault="00177589" w:rsidP="00177589">
      <w:pPr>
        <w:pStyle w:val="Lijstalinea"/>
        <w:numPr>
          <w:ilvl w:val="0"/>
          <w:numId w:val="40"/>
        </w:numPr>
        <w:spacing w:after="60"/>
        <w:rPr>
          <w:lang w:val="en-GB"/>
        </w:rPr>
      </w:pPr>
      <w:r w:rsidRPr="00B52B89">
        <w:rPr>
          <w:b/>
          <w:bCs/>
          <w:lang w:val="en-GB"/>
        </w:rPr>
        <w:t>Freedoms</w:t>
      </w:r>
      <w:r w:rsidRPr="00B52B89">
        <w:rPr>
          <w:lang w:val="en-GB"/>
        </w:rPr>
        <w:t>, comprising the rights to data protection and privacy, but also intellectual freedoms (education, expression, thought, religion and information) and social freedoms (assembly, marriage, asylum and property);</w:t>
      </w:r>
    </w:p>
    <w:p w14:paraId="7C2AA403" w14:textId="77777777" w:rsidR="00177589" w:rsidRPr="00B52B89" w:rsidRDefault="00177589" w:rsidP="00177589">
      <w:pPr>
        <w:pStyle w:val="Lijstalinea"/>
        <w:numPr>
          <w:ilvl w:val="0"/>
          <w:numId w:val="40"/>
        </w:numPr>
        <w:spacing w:after="60"/>
        <w:rPr>
          <w:lang w:val="en-GB"/>
        </w:rPr>
      </w:pPr>
      <w:r w:rsidRPr="00B52B89">
        <w:rPr>
          <w:b/>
          <w:bCs/>
          <w:lang w:val="en-GB"/>
        </w:rPr>
        <w:t>Equality</w:t>
      </w:r>
      <w:r w:rsidRPr="00B52B89">
        <w:rPr>
          <w:lang w:val="en-GB"/>
        </w:rPr>
        <w:t>, including non-discrimination and rights of minorities and of societally more vulnerable parties;</w:t>
      </w:r>
    </w:p>
    <w:p w14:paraId="0AE2F42D" w14:textId="77777777" w:rsidR="00177589" w:rsidRPr="00B52B89" w:rsidRDefault="00177589" w:rsidP="00177589">
      <w:pPr>
        <w:pStyle w:val="Lijstalinea"/>
        <w:numPr>
          <w:ilvl w:val="0"/>
          <w:numId w:val="40"/>
        </w:numPr>
        <w:spacing w:after="60"/>
        <w:rPr>
          <w:lang w:val="en-GB"/>
        </w:rPr>
      </w:pPr>
      <w:r w:rsidRPr="00B52B89">
        <w:rPr>
          <w:b/>
          <w:bCs/>
          <w:lang w:val="en-GB"/>
        </w:rPr>
        <w:t>Solidarity</w:t>
      </w:r>
      <w:r w:rsidRPr="00B52B89">
        <w:rPr>
          <w:lang w:val="en-GB"/>
        </w:rPr>
        <w:t>, covering workers’ rights and labour rights, social security, collective bargaining, health care and environmental protection;</w:t>
      </w:r>
    </w:p>
    <w:p w14:paraId="3FBE1107" w14:textId="77777777" w:rsidR="00177589" w:rsidRPr="00B52B89" w:rsidRDefault="00177589" w:rsidP="00177589">
      <w:pPr>
        <w:pStyle w:val="Lijstalinea"/>
        <w:numPr>
          <w:ilvl w:val="0"/>
          <w:numId w:val="40"/>
        </w:numPr>
        <w:spacing w:after="60"/>
        <w:rPr>
          <w:lang w:val="en-GB"/>
        </w:rPr>
      </w:pPr>
      <w:r w:rsidRPr="00B52B89">
        <w:rPr>
          <w:b/>
          <w:bCs/>
          <w:lang w:val="en-GB"/>
        </w:rPr>
        <w:t>Citizens' rights</w:t>
      </w:r>
      <w:r w:rsidRPr="00B52B89">
        <w:rPr>
          <w:lang w:val="en-GB"/>
        </w:rPr>
        <w:t>, such as the right to vote, to proper administration, access to documents and freedom of movement;</w:t>
      </w:r>
    </w:p>
    <w:p w14:paraId="79A01999" w14:textId="77777777" w:rsidR="00177589" w:rsidRPr="00B52B89" w:rsidRDefault="00177589" w:rsidP="00177589">
      <w:pPr>
        <w:pStyle w:val="Lijstalinea"/>
        <w:numPr>
          <w:ilvl w:val="0"/>
          <w:numId w:val="40"/>
        </w:numPr>
        <w:spacing w:after="60"/>
        <w:rPr>
          <w:lang w:val="en-GB"/>
        </w:rPr>
      </w:pPr>
      <w:r w:rsidRPr="00B52B89">
        <w:rPr>
          <w:b/>
          <w:bCs/>
          <w:lang w:val="en-GB"/>
        </w:rPr>
        <w:t>Justice</w:t>
      </w:r>
      <w:r w:rsidRPr="00B52B89">
        <w:rPr>
          <w:lang w:val="en-GB"/>
        </w:rPr>
        <w:t>, including access to fair trial and effective remedy, and the right to defence.</w:t>
      </w:r>
    </w:p>
    <w:p w14:paraId="0E02FD8B" w14:textId="77777777" w:rsidR="00177589" w:rsidRPr="00B52B89" w:rsidRDefault="00177589" w:rsidP="00177589">
      <w:pPr>
        <w:rPr>
          <w:lang w:val="en-GB"/>
        </w:rPr>
      </w:pPr>
    </w:p>
    <w:p w14:paraId="23C573D2" w14:textId="77777777" w:rsidR="00177589" w:rsidRPr="00B52B89" w:rsidRDefault="00177589" w:rsidP="00177589">
      <w:pPr>
        <w:rPr>
          <w:lang w:val="en-GB"/>
        </w:rPr>
      </w:pPr>
      <w:r w:rsidRPr="00B52B89">
        <w:rPr>
          <w:lang w:val="en-GB"/>
        </w:rPr>
        <w:t xml:space="preserve">These values collectively comprise the normative framework to be applied as a yardstick in this evaluation. Each of these principles will be evaluated in the following section. </w:t>
      </w:r>
    </w:p>
    <w:p w14:paraId="33839F38" w14:textId="584F9E32" w:rsidR="00154BAE" w:rsidRPr="00B52B89" w:rsidRDefault="00154BAE" w:rsidP="00177589">
      <w:pPr>
        <w:rPr>
          <w:lang w:val="en-GB" w:eastAsia="it-IT"/>
        </w:rPr>
      </w:pPr>
    </w:p>
    <w:p w14:paraId="06F1F521" w14:textId="139A9AB4" w:rsidR="00935903" w:rsidRPr="00B52B89" w:rsidRDefault="00935903" w:rsidP="00935903">
      <w:pPr>
        <w:rPr>
          <w:lang w:val="en-GB" w:eastAsia="it-IT"/>
        </w:rPr>
      </w:pPr>
    </w:p>
    <w:p w14:paraId="71961583" w14:textId="3819BF9F" w:rsidR="00D12DA3" w:rsidRPr="00B52B89" w:rsidRDefault="009133A7" w:rsidP="00054AAA">
      <w:pPr>
        <w:pStyle w:val="Kop1"/>
        <w:rPr>
          <w:lang w:val="en-GB"/>
        </w:rPr>
      </w:pPr>
      <w:bookmarkStart w:id="19" w:name="_Toc59118128"/>
      <w:r w:rsidRPr="00B52B89">
        <w:rPr>
          <w:lang w:val="en-GB"/>
        </w:rPr>
        <w:lastRenderedPageBreak/>
        <w:t>Object of evaluation: the OOP in European law and policy</w:t>
      </w:r>
      <w:bookmarkEnd w:id="19"/>
      <w:r w:rsidRPr="00B52B89">
        <w:rPr>
          <w:lang w:val="en-GB"/>
        </w:rPr>
        <w:t xml:space="preserve"> </w:t>
      </w:r>
    </w:p>
    <w:p w14:paraId="4AF311A2" w14:textId="01B9D3C2" w:rsidR="00A81EA2" w:rsidRPr="00B52B89" w:rsidRDefault="00A81EA2" w:rsidP="00A81EA2">
      <w:pPr>
        <w:pStyle w:val="Kop2"/>
        <w:rPr>
          <w:lang w:val="en-GB"/>
        </w:rPr>
      </w:pPr>
      <w:bookmarkStart w:id="20" w:name="_Toc36421352"/>
      <w:bookmarkStart w:id="21" w:name="_Toc59118129"/>
      <w:r w:rsidRPr="00B52B89">
        <w:rPr>
          <w:lang w:val="en-GB"/>
        </w:rPr>
        <w:t>General functional description of the once-only principle</w:t>
      </w:r>
      <w:bookmarkEnd w:id="20"/>
      <w:bookmarkEnd w:id="21"/>
    </w:p>
    <w:p w14:paraId="766A49BA" w14:textId="7A83F299" w:rsidR="00A81EA2" w:rsidRPr="00B52B89" w:rsidRDefault="00A81EA2" w:rsidP="00A81EA2">
      <w:pPr>
        <w:rPr>
          <w:rFonts w:cs="Arial"/>
          <w:lang w:val="en-GB" w:eastAsia="de-DE"/>
        </w:rPr>
      </w:pPr>
      <w:r w:rsidRPr="00B52B89">
        <w:rPr>
          <w:rFonts w:cs="Arial"/>
          <w:lang w:val="en-GB" w:eastAsia="de-DE"/>
        </w:rPr>
        <w:t xml:space="preserve">The </w:t>
      </w:r>
      <w:r w:rsidR="001D78DA" w:rsidRPr="00B52B89">
        <w:rPr>
          <w:rFonts w:cs="Arial"/>
          <w:lang w:val="en-GB" w:eastAsia="de-DE"/>
        </w:rPr>
        <w:t>DE4A</w:t>
      </w:r>
      <w:r w:rsidRPr="00B52B89">
        <w:rPr>
          <w:rFonts w:cs="Arial"/>
          <w:lang w:val="en-GB" w:eastAsia="de-DE"/>
        </w:rPr>
        <w:t xml:space="preserve"> project is organised against the policy background of the Single Digital Gateway Regulation. As the European Commission summarises the objective of </w:t>
      </w:r>
      <w:r w:rsidR="00767C4C" w:rsidRPr="00B52B89">
        <w:rPr>
          <w:rFonts w:cs="Arial"/>
          <w:lang w:val="en-GB" w:eastAsia="de-DE"/>
        </w:rPr>
        <w:t>the Regulation</w:t>
      </w:r>
      <w:r w:rsidRPr="00B52B89">
        <w:rPr>
          <w:rFonts w:cs="Arial"/>
          <w:lang w:val="en-GB" w:eastAsia="de-DE"/>
        </w:rPr>
        <w:t>, “</w:t>
      </w:r>
      <w:r w:rsidR="00767C4C" w:rsidRPr="00B52B89">
        <w:rPr>
          <w:rFonts w:cs="Arial"/>
          <w:lang w:val="en-GB" w:eastAsia="de-DE"/>
        </w:rPr>
        <w:t>The single digital gateway will facilitate online access to the information, administrative procedures and assistance services that citizens and businesses need to get active in another EU country. By the end of 2020, citizens and companies moving across EU borders will easily be able to find out what rules and assistance services apply in their new residency. By the end of 2023 at the latest, they will be able to perform a number of procedures in all EU member states without any physical paperwork, like registering a car or claiming pension benefits.</w:t>
      </w:r>
      <w:r w:rsidRPr="00B52B89">
        <w:rPr>
          <w:rFonts w:cs="Arial"/>
          <w:lang w:val="en-GB" w:eastAsia="de-DE"/>
        </w:rPr>
        <w:t>”</w:t>
      </w:r>
      <w:r w:rsidR="00741E05">
        <w:rPr>
          <w:rFonts w:cs="Arial"/>
          <w:lang w:val="en-GB" w:eastAsia="de-DE"/>
        </w:rPr>
        <w:fldChar w:fldCharType="begin"/>
      </w:r>
      <w:r w:rsidR="00741E05">
        <w:rPr>
          <w:rFonts w:cs="Arial"/>
          <w:lang w:val="en-GB" w:eastAsia="de-DE"/>
        </w:rPr>
        <w:instrText xml:space="preserve"> REF _Ref59117937 \r \h </w:instrText>
      </w:r>
      <w:r w:rsidR="00741E05">
        <w:rPr>
          <w:rFonts w:cs="Arial"/>
          <w:lang w:val="en-GB" w:eastAsia="de-DE"/>
        </w:rPr>
      </w:r>
      <w:r w:rsidR="00741E05">
        <w:rPr>
          <w:rFonts w:cs="Arial"/>
          <w:lang w:val="en-GB" w:eastAsia="de-DE"/>
        </w:rPr>
        <w:fldChar w:fldCharType="separate"/>
      </w:r>
      <w:r w:rsidR="00741E05">
        <w:rPr>
          <w:rFonts w:cs="Arial"/>
          <w:lang w:val="en-GB" w:eastAsia="de-DE"/>
        </w:rPr>
        <w:t>[4]</w:t>
      </w:r>
      <w:r w:rsidR="00741E05">
        <w:rPr>
          <w:rFonts w:cs="Arial"/>
          <w:lang w:val="en-GB" w:eastAsia="de-DE"/>
        </w:rPr>
        <w:fldChar w:fldCharType="end"/>
      </w:r>
      <w:r w:rsidRPr="00B52B89">
        <w:rPr>
          <w:rFonts w:cs="Arial"/>
          <w:lang w:val="en-GB" w:eastAsia="de-DE"/>
        </w:rPr>
        <w:t>.</w:t>
      </w:r>
    </w:p>
    <w:p w14:paraId="669B63B9" w14:textId="42EA44FA" w:rsidR="00A81EA2" w:rsidRPr="00B52B89" w:rsidRDefault="001D78DA" w:rsidP="00A81EA2">
      <w:pPr>
        <w:rPr>
          <w:rFonts w:cs="Arial"/>
          <w:lang w:val="en-GB" w:eastAsia="de-DE"/>
        </w:rPr>
      </w:pPr>
      <w:r w:rsidRPr="00B52B89">
        <w:rPr>
          <w:rFonts w:cs="Arial"/>
          <w:lang w:val="en-GB" w:eastAsia="de-DE"/>
        </w:rPr>
        <w:t>DE4A</w:t>
      </w:r>
      <w:r w:rsidR="00A81EA2" w:rsidRPr="00B52B89">
        <w:rPr>
          <w:rFonts w:cs="Arial"/>
          <w:lang w:val="en-GB" w:eastAsia="de-DE"/>
        </w:rPr>
        <w:t xml:space="preserve"> </w:t>
      </w:r>
      <w:r w:rsidRPr="00B52B89">
        <w:rPr>
          <w:rFonts w:cs="Arial"/>
          <w:lang w:val="en-GB" w:eastAsia="de-DE"/>
        </w:rPr>
        <w:t>principally, but not exclusively</w:t>
      </w:r>
      <w:r w:rsidR="00DD470E" w:rsidRPr="00B52B89">
        <w:rPr>
          <w:rFonts w:cs="Arial"/>
          <w:lang w:val="en-GB" w:eastAsia="de-DE"/>
        </w:rPr>
        <w:t xml:space="preserve"> as will be explained below</w:t>
      </w:r>
      <w:r w:rsidRPr="00B52B89">
        <w:rPr>
          <w:rFonts w:cs="Arial"/>
          <w:lang w:val="en-GB" w:eastAsia="de-DE"/>
        </w:rPr>
        <w:t>,</w:t>
      </w:r>
      <w:r w:rsidR="00A81EA2" w:rsidRPr="00B52B89">
        <w:rPr>
          <w:rFonts w:cs="Arial"/>
          <w:lang w:val="en-GB" w:eastAsia="de-DE"/>
        </w:rPr>
        <w:t xml:space="preserve"> targets the once-only principle enshrined in the </w:t>
      </w:r>
      <w:r w:rsidR="00767C4C" w:rsidRPr="00B52B89">
        <w:rPr>
          <w:rFonts w:cs="Arial"/>
          <w:lang w:val="en-GB" w:eastAsia="de-DE"/>
        </w:rPr>
        <w:t>R</w:t>
      </w:r>
      <w:r w:rsidR="00A81EA2" w:rsidRPr="00B52B89">
        <w:rPr>
          <w:rFonts w:cs="Arial"/>
          <w:lang w:val="en-GB" w:eastAsia="de-DE"/>
        </w:rPr>
        <w:t xml:space="preserve">egulation. The </w:t>
      </w:r>
      <w:r w:rsidR="00A544AE" w:rsidRPr="00B52B89">
        <w:rPr>
          <w:rFonts w:cs="Arial"/>
          <w:lang w:val="en-GB" w:eastAsia="de-DE"/>
        </w:rPr>
        <w:t xml:space="preserve">Regulation </w:t>
      </w:r>
      <w:r w:rsidR="00A81EA2" w:rsidRPr="00B52B89">
        <w:rPr>
          <w:rFonts w:cs="Arial"/>
          <w:lang w:val="en-GB" w:eastAsia="de-DE"/>
        </w:rPr>
        <w:t>describes this principle in recital 44 by noting that “the cross-border application of the ‘once-only’ principle should result in citizens and businesses not having to supply the same data to public authorities more than once, and that it should also be possible to use those data at the request of the user for the purposes of completing cross-border online procedures involving cross-border users”.</w:t>
      </w:r>
    </w:p>
    <w:p w14:paraId="724D937C" w14:textId="43EC69EC" w:rsidR="00A81EA2" w:rsidRPr="00B52B89" w:rsidRDefault="00A544AE" w:rsidP="00A81EA2">
      <w:pPr>
        <w:rPr>
          <w:rFonts w:cs="Arial"/>
          <w:lang w:val="en-GB" w:eastAsia="de-DE"/>
        </w:rPr>
      </w:pPr>
      <w:r w:rsidRPr="00B52B89">
        <w:rPr>
          <w:rFonts w:cs="Arial"/>
          <w:lang w:val="en-GB" w:eastAsia="de-DE"/>
        </w:rPr>
        <w:t xml:space="preserve">DE4A </w:t>
      </w:r>
      <w:r w:rsidR="00A81EA2" w:rsidRPr="00B52B89">
        <w:rPr>
          <w:rFonts w:cs="Arial"/>
          <w:lang w:val="en-GB" w:eastAsia="de-DE"/>
        </w:rPr>
        <w:t xml:space="preserve">is </w:t>
      </w:r>
      <w:r w:rsidRPr="00B52B89">
        <w:rPr>
          <w:rFonts w:cs="Arial"/>
          <w:lang w:val="en-GB" w:eastAsia="de-DE"/>
        </w:rPr>
        <w:t xml:space="preserve">therefore </w:t>
      </w:r>
      <w:r w:rsidR="00A81EA2" w:rsidRPr="00B52B89">
        <w:rPr>
          <w:rFonts w:cs="Arial"/>
          <w:lang w:val="en-GB" w:eastAsia="de-DE"/>
        </w:rPr>
        <w:t xml:space="preserve">an e-government project which aims to facilitate the electronic exchange of information in administrative proceedings where this information thus far is usually done on paper. As such, </w:t>
      </w:r>
      <w:r w:rsidRPr="00B52B89">
        <w:rPr>
          <w:rFonts w:cs="Arial"/>
          <w:lang w:val="en-GB" w:eastAsia="de-DE"/>
        </w:rPr>
        <w:t xml:space="preserve">DE4A </w:t>
      </w:r>
      <w:r w:rsidR="00A81EA2" w:rsidRPr="00B52B89">
        <w:rPr>
          <w:rFonts w:cs="Arial"/>
          <w:lang w:val="en-GB" w:eastAsia="de-DE"/>
        </w:rPr>
        <w:t xml:space="preserve">does not aim to create new data flows (exchanging information where no information was exchanged before), but rather to create a new way to organise existing data flows. </w:t>
      </w:r>
    </w:p>
    <w:p w14:paraId="251FEFBD" w14:textId="23CDD82C" w:rsidR="00A81EA2" w:rsidRPr="00B52B89" w:rsidRDefault="00A544AE" w:rsidP="00A81EA2">
      <w:pPr>
        <w:rPr>
          <w:rFonts w:cs="Arial"/>
          <w:lang w:val="en-GB" w:eastAsia="de-DE"/>
        </w:rPr>
      </w:pPr>
      <w:r w:rsidRPr="00B52B89">
        <w:rPr>
          <w:rFonts w:cs="Arial"/>
          <w:lang w:val="en-GB" w:eastAsia="de-DE"/>
        </w:rPr>
        <w:t xml:space="preserve">DE4A </w:t>
      </w:r>
      <w:r w:rsidR="00A81EA2" w:rsidRPr="00B52B89">
        <w:rPr>
          <w:rFonts w:cs="Arial"/>
          <w:lang w:val="en-GB" w:eastAsia="de-DE"/>
        </w:rPr>
        <w:t xml:space="preserve">(and the once-only principle as enshrined in the regulation) is therefore an example of </w:t>
      </w:r>
      <w:r w:rsidR="00A81EA2" w:rsidRPr="00B52B89">
        <w:rPr>
          <w:rFonts w:cs="Arial"/>
          <w:b/>
          <w:bCs/>
          <w:lang w:val="en-GB" w:eastAsia="de-DE"/>
        </w:rPr>
        <w:t>incremental innovation</w:t>
      </w:r>
      <w:r w:rsidR="00A81EA2" w:rsidRPr="00B52B89">
        <w:rPr>
          <w:rFonts w:cs="Arial"/>
          <w:lang w:val="en-GB" w:eastAsia="de-DE"/>
        </w:rPr>
        <w:t xml:space="preserve">: a form of innovation which builds on existing knowledge and aims at existing customers (as opposed to radical innovation, where either the knowledge, the usage, or both are at least partially new). As such, the principal challenge is to ensure that the innovations brought about by </w:t>
      </w:r>
      <w:r w:rsidR="00C10E30" w:rsidRPr="00B52B89">
        <w:rPr>
          <w:rFonts w:cs="Arial"/>
          <w:lang w:val="en-GB" w:eastAsia="de-DE"/>
        </w:rPr>
        <w:t xml:space="preserve">DE4A </w:t>
      </w:r>
      <w:r w:rsidR="00A81EA2" w:rsidRPr="00B52B89">
        <w:rPr>
          <w:rFonts w:cs="Arial"/>
          <w:lang w:val="en-GB" w:eastAsia="de-DE"/>
        </w:rPr>
        <w:t xml:space="preserve">do not create ethical problems which were absent in the traditional way of working. </w:t>
      </w:r>
    </w:p>
    <w:p w14:paraId="553CEA85" w14:textId="77777777" w:rsidR="00A81EA2" w:rsidRPr="00B52B89" w:rsidRDefault="00A81EA2" w:rsidP="00A81EA2">
      <w:pPr>
        <w:rPr>
          <w:rFonts w:cs="Arial"/>
          <w:lang w:val="en-GB" w:eastAsia="de-DE"/>
        </w:rPr>
      </w:pPr>
    </w:p>
    <w:p w14:paraId="1CFDC763" w14:textId="77777777" w:rsidR="00A81EA2" w:rsidRPr="00B52B89" w:rsidRDefault="00A81EA2" w:rsidP="00A81EA2">
      <w:pPr>
        <w:pStyle w:val="Kop2"/>
        <w:rPr>
          <w:lang w:val="en-GB"/>
        </w:rPr>
      </w:pPr>
      <w:bookmarkStart w:id="22" w:name="_Toc36421353"/>
      <w:bookmarkStart w:id="23" w:name="_Toc59118130"/>
      <w:r w:rsidRPr="00B52B89">
        <w:rPr>
          <w:lang w:val="en-GB"/>
        </w:rPr>
        <w:t>Ethical implications – priorities for ethics evaluation</w:t>
      </w:r>
      <w:bookmarkEnd w:id="22"/>
      <w:bookmarkEnd w:id="23"/>
    </w:p>
    <w:p w14:paraId="23028054" w14:textId="412B0F19" w:rsidR="00A81EA2" w:rsidRPr="00B52B89" w:rsidRDefault="00A81EA2" w:rsidP="00A81EA2">
      <w:pPr>
        <w:rPr>
          <w:lang w:val="en-GB"/>
        </w:rPr>
      </w:pPr>
      <w:r w:rsidRPr="00B52B89">
        <w:rPr>
          <w:lang w:val="en-GB"/>
        </w:rPr>
        <w:t xml:space="preserve">The </w:t>
      </w:r>
      <w:r w:rsidR="00C10E30" w:rsidRPr="00B52B89">
        <w:rPr>
          <w:rFonts w:cs="Arial"/>
          <w:lang w:val="en-GB" w:eastAsia="de-DE"/>
        </w:rPr>
        <w:t xml:space="preserve">DE4A </w:t>
      </w:r>
      <w:r w:rsidRPr="00B52B89">
        <w:rPr>
          <w:lang w:val="en-GB"/>
        </w:rPr>
        <w:t xml:space="preserve">project aims to explore implementations and usage of a technical system – i.e. an infrastructure – that would be required under the Single Digital Gateway Regulation to allow the ‘once-only’ principle to be respected. The usage of that technical system is limited to three specific </w:t>
      </w:r>
      <w:r w:rsidR="00C10E30" w:rsidRPr="00B52B89">
        <w:rPr>
          <w:lang w:val="en-GB" w:eastAsia="it-IT"/>
        </w:rPr>
        <w:t>pilot streams</w:t>
      </w:r>
      <w:r w:rsidR="00C10E30" w:rsidRPr="00B52B89">
        <w:rPr>
          <w:lang w:val="en-GB"/>
        </w:rPr>
        <w:t xml:space="preserve"> in </w:t>
      </w:r>
      <w:r w:rsidR="00C10E30" w:rsidRPr="00B52B89">
        <w:rPr>
          <w:rFonts w:cs="Arial"/>
          <w:lang w:val="en-GB" w:eastAsia="de-DE"/>
        </w:rPr>
        <w:t>DE4A</w:t>
      </w:r>
      <w:r w:rsidR="00C10E30" w:rsidRPr="00B52B89">
        <w:rPr>
          <w:lang w:val="en-GB" w:eastAsia="it-IT"/>
        </w:rPr>
        <w:t>: Studying Abroad, Doing Business Abroad, and Moving Abroad</w:t>
      </w:r>
      <w:r w:rsidR="00C10E30" w:rsidRPr="00B52B89">
        <w:rPr>
          <w:lang w:val="en-GB"/>
        </w:rPr>
        <w:t>.</w:t>
      </w:r>
    </w:p>
    <w:p w14:paraId="3201D6E1" w14:textId="3BEE868E" w:rsidR="00A81EA2" w:rsidRPr="00B52B89" w:rsidRDefault="00A81EA2" w:rsidP="00A81EA2">
      <w:pPr>
        <w:rPr>
          <w:lang w:val="en-GB"/>
        </w:rPr>
      </w:pPr>
      <w:r w:rsidRPr="00B52B89">
        <w:rPr>
          <w:lang w:val="en-GB"/>
        </w:rPr>
        <w:t xml:space="preserve">The </w:t>
      </w:r>
      <w:r w:rsidR="00CA3112" w:rsidRPr="00B52B89">
        <w:rPr>
          <w:rFonts w:cs="Arial"/>
          <w:lang w:val="en-GB" w:eastAsia="de-DE"/>
        </w:rPr>
        <w:t xml:space="preserve">DE4A </w:t>
      </w:r>
      <w:r w:rsidRPr="00B52B89">
        <w:rPr>
          <w:lang w:val="en-GB"/>
        </w:rPr>
        <w:t>infrastructure and the SDGR collectively allow existing national administrations to exchange existing information (evidence) in existing procedures. The central innovation</w:t>
      </w:r>
      <w:r w:rsidR="00CA3112" w:rsidRPr="00B52B89">
        <w:rPr>
          <w:lang w:val="en-GB"/>
        </w:rPr>
        <w:t>s</w:t>
      </w:r>
      <w:r w:rsidRPr="00B52B89">
        <w:rPr>
          <w:lang w:val="en-GB"/>
        </w:rPr>
        <w:t xml:space="preserve"> </w:t>
      </w:r>
      <w:r w:rsidR="00CA3112" w:rsidRPr="00B52B89">
        <w:rPr>
          <w:lang w:val="en-GB"/>
        </w:rPr>
        <w:t>of the SDGR and</w:t>
      </w:r>
      <w:r w:rsidRPr="00B52B89">
        <w:rPr>
          <w:lang w:val="en-GB"/>
        </w:rPr>
        <w:t xml:space="preserve"> </w:t>
      </w:r>
      <w:r w:rsidR="00CA3112" w:rsidRPr="00B52B89">
        <w:rPr>
          <w:rFonts w:cs="Arial"/>
          <w:lang w:val="en-GB" w:eastAsia="de-DE"/>
        </w:rPr>
        <w:t xml:space="preserve">DE4A </w:t>
      </w:r>
      <w:r w:rsidR="00CA3112" w:rsidRPr="00B52B89">
        <w:rPr>
          <w:lang w:val="en-GB"/>
        </w:rPr>
        <w:t>are</w:t>
      </w:r>
      <w:r w:rsidRPr="00B52B89">
        <w:rPr>
          <w:lang w:val="en-GB"/>
        </w:rPr>
        <w:t xml:space="preserve"> that this exchange is done </w:t>
      </w:r>
      <w:r w:rsidRPr="00B52B89">
        <w:rPr>
          <w:b/>
          <w:bCs/>
          <w:lang w:val="en-GB"/>
        </w:rPr>
        <w:t>electronically</w:t>
      </w:r>
      <w:r w:rsidRPr="00B52B89">
        <w:rPr>
          <w:lang w:val="en-GB"/>
        </w:rPr>
        <w:t xml:space="preserve">, and that information should be exchanged </w:t>
      </w:r>
      <w:r w:rsidRPr="00B52B89">
        <w:rPr>
          <w:b/>
          <w:bCs/>
          <w:lang w:val="en-GB"/>
        </w:rPr>
        <w:t>directly between administrations</w:t>
      </w:r>
      <w:r w:rsidRPr="00B52B89">
        <w:rPr>
          <w:lang w:val="en-GB"/>
        </w:rPr>
        <w:t>, rather than simply providing documents to a citizen or company and requiring them to transfer the information to the relevant administration. As a result, citizens and businesses would no longer have to supply the same data to public authorities more than once, and it should also be possible to use those data at the request of the user for the purposes of completing cross-border online procedures involving cross-border users.</w:t>
      </w:r>
    </w:p>
    <w:p w14:paraId="606AC608" w14:textId="44AA8942" w:rsidR="00EB5AD4" w:rsidRPr="00B52B89" w:rsidRDefault="00AE6D8B" w:rsidP="00A81EA2">
      <w:pPr>
        <w:rPr>
          <w:rFonts w:cs="Arial"/>
          <w:lang w:val="en-GB" w:eastAsia="de-DE"/>
        </w:rPr>
      </w:pPr>
      <w:r w:rsidRPr="00B52B89">
        <w:rPr>
          <w:lang w:val="en-GB"/>
        </w:rPr>
        <w:t xml:space="preserve">There is however an additional element that impacts the ethics behind the SDGR and </w:t>
      </w:r>
      <w:r w:rsidRPr="00B52B89">
        <w:rPr>
          <w:rFonts w:cs="Arial"/>
          <w:lang w:val="en-GB" w:eastAsia="de-DE"/>
        </w:rPr>
        <w:t>DE4A: as described in the Regulation, exchanges of evidence in principle</w:t>
      </w:r>
      <w:r w:rsidR="00EB5AD4" w:rsidRPr="00B52B89">
        <w:rPr>
          <w:rFonts w:cs="Arial"/>
          <w:lang w:val="en-GB" w:eastAsia="de-DE"/>
        </w:rPr>
        <w:t xml:space="preserve"> must</w:t>
      </w:r>
      <w:r w:rsidRPr="00B52B89">
        <w:rPr>
          <w:rFonts w:cs="Arial"/>
          <w:lang w:val="en-GB" w:eastAsia="de-DE"/>
        </w:rPr>
        <w:t xml:space="preserve"> take place </w:t>
      </w:r>
      <w:r w:rsidR="00ED7F30" w:rsidRPr="00B52B89">
        <w:rPr>
          <w:rFonts w:cs="Arial"/>
          <w:lang w:val="en-GB" w:eastAsia="de-DE"/>
        </w:rPr>
        <w:t xml:space="preserve">at the request of the user. </w:t>
      </w:r>
      <w:r w:rsidR="00EB5AD4" w:rsidRPr="00B52B89">
        <w:rPr>
          <w:rFonts w:cs="Arial"/>
          <w:lang w:val="en-GB" w:eastAsia="de-DE"/>
        </w:rPr>
        <w:t xml:space="preserve">Furthermore, the user must be shown a preview of evidence before it can be exchanged. These </w:t>
      </w:r>
      <w:r w:rsidR="00EB5AD4" w:rsidRPr="00B52B89">
        <w:rPr>
          <w:rFonts w:cs="Arial"/>
          <w:lang w:val="en-GB" w:eastAsia="de-DE"/>
        </w:rPr>
        <w:lastRenderedPageBreak/>
        <w:t xml:space="preserve">requirements act as safeguards that protect the user against unlawful </w:t>
      </w:r>
      <w:r w:rsidR="00460BEB" w:rsidRPr="00B52B89">
        <w:rPr>
          <w:rFonts w:cs="Arial"/>
          <w:lang w:val="en-GB" w:eastAsia="de-DE"/>
        </w:rPr>
        <w:t xml:space="preserve">exchanges, but they also imply that exchanges cannot take place without user intervention, even when this would be useful to protect the interests of the person concerned (e.g. to grant them access to benefits that they may be entitled to), </w:t>
      </w:r>
      <w:r w:rsidR="00403DCF" w:rsidRPr="00B52B89">
        <w:rPr>
          <w:rFonts w:cs="Arial"/>
          <w:lang w:val="en-GB" w:eastAsia="de-DE"/>
        </w:rPr>
        <w:t xml:space="preserve">the interests of third parties (e.g. to protect them against a </w:t>
      </w:r>
      <w:r w:rsidR="009F5A3B" w:rsidRPr="00B52B89">
        <w:rPr>
          <w:rFonts w:cs="Arial"/>
          <w:lang w:val="en-GB" w:eastAsia="de-DE"/>
        </w:rPr>
        <w:t xml:space="preserve">person whose unlawful conduct could be detected and addressed if the relevant evidences could be easily exchanged), or even the interests of the public (e.g. to automatically detect fraud). Thus, there is a clear </w:t>
      </w:r>
      <w:r w:rsidR="00494E9B" w:rsidRPr="00B52B89">
        <w:rPr>
          <w:rFonts w:cs="Arial"/>
          <w:lang w:val="en-GB" w:eastAsia="de-DE"/>
        </w:rPr>
        <w:t>ethical choice that has been made, which focuses on user centricity and the voluntary choice to use the once-only principle only when this is in the interest of the user concerned.</w:t>
      </w:r>
    </w:p>
    <w:p w14:paraId="0E44720A" w14:textId="77777777" w:rsidR="00494E9B" w:rsidRPr="00B52B89" w:rsidRDefault="00494E9B" w:rsidP="00494E9B">
      <w:pPr>
        <w:rPr>
          <w:rFonts w:cs="Arial"/>
          <w:lang w:val="en-GB" w:eastAsia="de-DE"/>
        </w:rPr>
      </w:pPr>
      <w:r w:rsidRPr="00B52B89">
        <w:rPr>
          <w:rFonts w:cs="Arial"/>
          <w:lang w:val="en-GB" w:eastAsia="de-DE"/>
        </w:rPr>
        <w:t>There are</w:t>
      </w:r>
      <w:r w:rsidR="00ED7F30" w:rsidRPr="00B52B89">
        <w:rPr>
          <w:rFonts w:cs="Arial"/>
          <w:lang w:val="en-GB" w:eastAsia="de-DE"/>
        </w:rPr>
        <w:t xml:space="preserve"> exception</w:t>
      </w:r>
      <w:r w:rsidRPr="00B52B89">
        <w:rPr>
          <w:rFonts w:cs="Arial"/>
          <w:lang w:val="en-GB" w:eastAsia="de-DE"/>
        </w:rPr>
        <w:t>s</w:t>
      </w:r>
      <w:r w:rsidR="00ED7F30" w:rsidRPr="00B52B89">
        <w:rPr>
          <w:rFonts w:cs="Arial"/>
          <w:lang w:val="en-GB" w:eastAsia="de-DE"/>
        </w:rPr>
        <w:t xml:space="preserve"> </w:t>
      </w:r>
      <w:r w:rsidRPr="00B52B89">
        <w:rPr>
          <w:rFonts w:cs="Arial"/>
          <w:lang w:val="en-GB" w:eastAsia="de-DE"/>
        </w:rPr>
        <w:t>to these rules</w:t>
      </w:r>
      <w:r w:rsidR="00ED7F30" w:rsidRPr="00B52B89">
        <w:rPr>
          <w:rFonts w:cs="Arial"/>
          <w:lang w:val="en-GB" w:eastAsia="de-DE"/>
        </w:rPr>
        <w:t xml:space="preserve"> where exchanges are explicitly permitted under national or European </w:t>
      </w:r>
      <w:r w:rsidR="00EC2619" w:rsidRPr="00B52B89">
        <w:rPr>
          <w:rFonts w:cs="Arial"/>
          <w:lang w:val="en-GB" w:eastAsia="de-DE"/>
        </w:rPr>
        <w:t>law</w:t>
      </w:r>
      <w:r w:rsidRPr="00B52B89">
        <w:rPr>
          <w:rFonts w:cs="Arial"/>
          <w:lang w:val="en-GB" w:eastAsia="de-DE"/>
        </w:rPr>
        <w:t xml:space="preserve"> without a prior request or preview, but based on the existing assessments in DE4A (notable in D7.1), these do not appear to be fully understood yet; and at any rate the standard (default) ethical choice of EU law and policy is to favour the interest of the individual user. </w:t>
      </w:r>
    </w:p>
    <w:p w14:paraId="0B9D50B4" w14:textId="39EC844C" w:rsidR="00A81EA2" w:rsidRPr="00B52B89" w:rsidRDefault="00EA7D69" w:rsidP="00494E9B">
      <w:pPr>
        <w:rPr>
          <w:lang w:val="en-GB"/>
        </w:rPr>
      </w:pPr>
      <w:r w:rsidRPr="00B52B89">
        <w:rPr>
          <w:rFonts w:cs="Arial"/>
          <w:lang w:val="en-GB" w:eastAsia="de-DE"/>
        </w:rPr>
        <w:t xml:space="preserve">Taking these considerations into account, </w:t>
      </w:r>
      <w:r w:rsidR="00A81EA2" w:rsidRPr="00B52B89">
        <w:rPr>
          <w:lang w:val="en-GB"/>
        </w:rPr>
        <w:t xml:space="preserve">the principles and values outlined in </w:t>
      </w:r>
      <w:r w:rsidRPr="00B52B89">
        <w:rPr>
          <w:lang w:val="en-GB"/>
        </w:rPr>
        <w:t>section</w:t>
      </w:r>
      <w:r w:rsidR="00A81EA2" w:rsidRPr="00B52B89">
        <w:rPr>
          <w:lang w:val="en-GB"/>
        </w:rPr>
        <w:t xml:space="preserve"> 2 can provisionally be evaluated as follows in relation to the </w:t>
      </w:r>
      <w:r w:rsidRPr="00B52B89">
        <w:rPr>
          <w:lang w:val="en-GB"/>
        </w:rPr>
        <w:t xml:space="preserve">once-only principle as envisaged by EU law and policy </w:t>
      </w:r>
      <w:r w:rsidR="00A81EA2" w:rsidRPr="00B52B89">
        <w:rPr>
          <w:lang w:val="en-GB"/>
        </w:rPr>
        <w:t xml:space="preserve"> as a whole (without considering specific concerns for </w:t>
      </w:r>
      <w:r w:rsidRPr="00B52B89">
        <w:rPr>
          <w:lang w:val="en-GB"/>
        </w:rPr>
        <w:t>DE4A, which are outlined in the following section</w:t>
      </w:r>
      <w:r w:rsidR="00A81EA2" w:rsidRPr="00B52B89">
        <w:rPr>
          <w:lang w:val="en-GB"/>
        </w:rPr>
        <w:t>):</w:t>
      </w:r>
    </w:p>
    <w:p w14:paraId="2D2DD080" w14:textId="77777777" w:rsidR="00A81EA2" w:rsidRPr="00B52B89" w:rsidRDefault="00A81EA2" w:rsidP="00A81EA2">
      <w:pPr>
        <w:rPr>
          <w:lang w:val="en-GB"/>
        </w:rPr>
      </w:pPr>
    </w:p>
    <w:p w14:paraId="51A48070" w14:textId="77777777" w:rsidR="00A81EA2" w:rsidRPr="00B52B89" w:rsidRDefault="00A81EA2" w:rsidP="00A81EA2">
      <w:pPr>
        <w:pStyle w:val="Kop3"/>
        <w:rPr>
          <w:lang w:val="en-GB"/>
        </w:rPr>
      </w:pPr>
      <w:bookmarkStart w:id="24" w:name="_Toc36421354"/>
      <w:bookmarkStart w:id="25" w:name="_Toc58969831"/>
      <w:bookmarkStart w:id="26" w:name="_Toc59118131"/>
      <w:r w:rsidRPr="00B52B89">
        <w:rPr>
          <w:b/>
          <w:lang w:val="en-GB"/>
        </w:rPr>
        <w:t>Dignity</w:t>
      </w:r>
      <w:r w:rsidRPr="00B52B89">
        <w:rPr>
          <w:lang w:val="en-GB"/>
        </w:rPr>
        <w:t>, notably individuals’ right to be secure in their physical and mental integrity</w:t>
      </w:r>
      <w:bookmarkEnd w:id="24"/>
      <w:bookmarkEnd w:id="25"/>
      <w:bookmarkEnd w:id="26"/>
    </w:p>
    <w:p w14:paraId="66B3710F" w14:textId="46E7E9F7" w:rsidR="00A81EA2" w:rsidRPr="00B52B89" w:rsidRDefault="00A81EA2" w:rsidP="00A81EA2">
      <w:pPr>
        <w:rPr>
          <w:lang w:val="en-GB"/>
        </w:rPr>
      </w:pPr>
      <w:r w:rsidRPr="00B52B89">
        <w:rPr>
          <w:b/>
          <w:bCs/>
          <w:lang w:val="en-GB"/>
        </w:rPr>
        <w:t>No particular risks</w:t>
      </w:r>
      <w:r w:rsidRPr="00B52B89">
        <w:rPr>
          <w:lang w:val="en-GB"/>
        </w:rPr>
        <w:t xml:space="preserve"> are likely to emerge. The </w:t>
      </w:r>
      <w:r w:rsidR="00EA7D69" w:rsidRPr="00B52B89">
        <w:rPr>
          <w:lang w:val="en-GB"/>
        </w:rPr>
        <w:t>DE4A</w:t>
      </w:r>
      <w:r w:rsidRPr="00B52B89">
        <w:rPr>
          <w:lang w:val="en-GB"/>
        </w:rPr>
        <w:t xml:space="preserve"> infrastructure is intended to be used in existing exchanges of information between parties that are already sending/receiving that information. The change of modality of exchange is </w:t>
      </w:r>
      <w:r w:rsidRPr="00B52B89">
        <w:rPr>
          <w:b/>
          <w:bCs/>
          <w:lang w:val="en-GB"/>
        </w:rPr>
        <w:t>unlikely to impact dignity</w:t>
      </w:r>
      <w:r w:rsidRPr="00B52B89">
        <w:rPr>
          <w:lang w:val="en-GB"/>
        </w:rPr>
        <w:t xml:space="preserve"> in any way, either negatively or positively.</w:t>
      </w:r>
    </w:p>
    <w:p w14:paraId="0D053C9F" w14:textId="77777777" w:rsidR="00A81EA2" w:rsidRPr="00B52B89" w:rsidRDefault="00A81EA2" w:rsidP="00A81EA2">
      <w:pPr>
        <w:rPr>
          <w:lang w:val="en-GB"/>
        </w:rPr>
      </w:pPr>
    </w:p>
    <w:p w14:paraId="1CF35005" w14:textId="77777777" w:rsidR="00A81EA2" w:rsidRPr="00B52B89" w:rsidRDefault="00A81EA2" w:rsidP="00A81EA2">
      <w:pPr>
        <w:pStyle w:val="Kop3"/>
        <w:rPr>
          <w:lang w:val="en-GB"/>
        </w:rPr>
      </w:pPr>
      <w:bookmarkStart w:id="27" w:name="_Toc36421355"/>
      <w:bookmarkStart w:id="28" w:name="_Toc58969832"/>
      <w:bookmarkStart w:id="29" w:name="_Toc59118132"/>
      <w:r w:rsidRPr="00B52B89">
        <w:rPr>
          <w:b/>
          <w:lang w:val="en-GB"/>
        </w:rPr>
        <w:t>Freedoms</w:t>
      </w:r>
      <w:r w:rsidRPr="00B52B89">
        <w:rPr>
          <w:lang w:val="en-GB"/>
        </w:rPr>
        <w:t>, comprising the rights to data protection and privacy, but also intellectual freedoms (education, expression, thought, religion and information) and social freedoms (assembly, marriage, asylum and property)</w:t>
      </w:r>
      <w:bookmarkEnd w:id="27"/>
      <w:bookmarkEnd w:id="28"/>
      <w:bookmarkEnd w:id="29"/>
    </w:p>
    <w:p w14:paraId="7B042777" w14:textId="33C41BDF" w:rsidR="00A81EA2" w:rsidRPr="00B52B89" w:rsidRDefault="00A81EA2" w:rsidP="00A81EA2">
      <w:pPr>
        <w:rPr>
          <w:lang w:val="en-GB"/>
        </w:rPr>
      </w:pPr>
      <w:r w:rsidRPr="00B52B89">
        <w:rPr>
          <w:b/>
          <w:bCs/>
          <w:lang w:val="en-GB"/>
        </w:rPr>
        <w:t>While</w:t>
      </w:r>
      <w:r w:rsidRPr="00B52B89">
        <w:rPr>
          <w:lang w:val="en-GB"/>
        </w:rPr>
        <w:t xml:space="preserve"> </w:t>
      </w:r>
      <w:r w:rsidRPr="00B52B89">
        <w:rPr>
          <w:b/>
          <w:bCs/>
          <w:lang w:val="en-GB"/>
        </w:rPr>
        <w:t xml:space="preserve">other freedoms are unlikely to be impacted negatively or positively, the right to data protection and privacy could be negatively impacted in the absence of sufficient safeguards. </w:t>
      </w:r>
      <w:r w:rsidRPr="00B52B89">
        <w:rPr>
          <w:lang w:val="en-GB"/>
        </w:rPr>
        <w:t xml:space="preserve">The Regulation on the Single Digital Gateway already highlights this risk, and stresses that the technical system – and thus also </w:t>
      </w:r>
      <w:r w:rsidR="00EA7D69" w:rsidRPr="00B52B89">
        <w:rPr>
          <w:lang w:val="en-GB"/>
        </w:rPr>
        <w:t>DE4A</w:t>
      </w:r>
      <w:r w:rsidRPr="00B52B89">
        <w:rPr>
          <w:lang w:val="en-GB"/>
        </w:rPr>
        <w:t>’s infrastructure – must “comply with all applicable data protection rules, including the principle of data minimisation, accuracy, storage limitation, integrity and confidentiality, necessity, proportionality and purpose limitation. Its implementation should also comply fully with the principles of security by design and of privacy by design, and should also respect the fundamental rights of individuals, including those related to fairness and transparency” (recital 42).</w:t>
      </w:r>
    </w:p>
    <w:p w14:paraId="696B0B12" w14:textId="7A6F469B" w:rsidR="00A81EA2" w:rsidRPr="00B52B89" w:rsidRDefault="00A81EA2" w:rsidP="00A81EA2">
      <w:pPr>
        <w:rPr>
          <w:lang w:val="en-GB"/>
        </w:rPr>
      </w:pPr>
      <w:r w:rsidRPr="00B52B89">
        <w:rPr>
          <w:lang w:val="en-GB"/>
        </w:rPr>
        <w:t xml:space="preserve">In more concrete terms, the proposal requires that any exchange of personal data in the context of the technical system (and thus also </w:t>
      </w:r>
      <w:r w:rsidR="00EA7D69" w:rsidRPr="00B52B89">
        <w:rPr>
          <w:lang w:val="en-GB"/>
        </w:rPr>
        <w:t>DE4A</w:t>
      </w:r>
      <w:r w:rsidRPr="00B52B89">
        <w:rPr>
          <w:lang w:val="en-GB"/>
        </w:rPr>
        <w:t xml:space="preserve">’s infrastructure): </w:t>
      </w:r>
    </w:p>
    <w:p w14:paraId="4A94A1B5" w14:textId="77777777" w:rsidR="00A81EA2" w:rsidRPr="00B52B89" w:rsidRDefault="00A81EA2" w:rsidP="00A81EA2">
      <w:pPr>
        <w:pStyle w:val="Lijstalinea"/>
        <w:numPr>
          <w:ilvl w:val="0"/>
          <w:numId w:val="37"/>
        </w:numPr>
        <w:spacing w:after="60"/>
        <w:rPr>
          <w:lang w:val="en-GB"/>
        </w:rPr>
      </w:pPr>
      <w:r w:rsidRPr="00B52B89">
        <w:rPr>
          <w:lang w:val="en-GB"/>
        </w:rPr>
        <w:t xml:space="preserve">Should take place only </w:t>
      </w:r>
      <w:r w:rsidRPr="00B52B89">
        <w:rPr>
          <w:b/>
          <w:bCs/>
          <w:lang w:val="en-GB"/>
        </w:rPr>
        <w:t>upon prior request</w:t>
      </w:r>
      <w:r w:rsidRPr="00B52B89">
        <w:rPr>
          <w:lang w:val="en-GB"/>
        </w:rPr>
        <w:t xml:space="preserve"> of the end user (thus safeguarding lawfulness and transparency); </w:t>
      </w:r>
    </w:p>
    <w:p w14:paraId="430C735F" w14:textId="77777777" w:rsidR="00A81EA2" w:rsidRPr="00B52B89" w:rsidRDefault="00A81EA2" w:rsidP="00A81EA2">
      <w:pPr>
        <w:pStyle w:val="Lijstalinea"/>
        <w:numPr>
          <w:ilvl w:val="0"/>
          <w:numId w:val="37"/>
        </w:numPr>
        <w:spacing w:after="60"/>
        <w:rPr>
          <w:lang w:val="en-GB"/>
        </w:rPr>
      </w:pPr>
      <w:r w:rsidRPr="00B52B89">
        <w:rPr>
          <w:lang w:val="en-GB"/>
        </w:rPr>
        <w:t xml:space="preserve">Should take place only </w:t>
      </w:r>
      <w:r w:rsidRPr="00B52B89">
        <w:rPr>
          <w:b/>
          <w:bCs/>
          <w:lang w:val="en-GB"/>
        </w:rPr>
        <w:t>after showing a preview of the relevant information</w:t>
      </w:r>
      <w:r w:rsidRPr="00B52B89">
        <w:rPr>
          <w:lang w:val="en-GB"/>
        </w:rPr>
        <w:t xml:space="preserve"> to the end user (thus safeguarding accuracy and transparency);</w:t>
      </w:r>
    </w:p>
    <w:p w14:paraId="4FB2DC73" w14:textId="77777777" w:rsidR="00A81EA2" w:rsidRPr="00B52B89" w:rsidRDefault="00A81EA2" w:rsidP="00A81EA2">
      <w:pPr>
        <w:pStyle w:val="Lijstalinea"/>
        <w:numPr>
          <w:ilvl w:val="0"/>
          <w:numId w:val="37"/>
        </w:numPr>
        <w:spacing w:after="60"/>
        <w:rPr>
          <w:lang w:val="en-GB"/>
        </w:rPr>
      </w:pPr>
      <w:r w:rsidRPr="00B52B89">
        <w:rPr>
          <w:lang w:val="en-GB"/>
        </w:rPr>
        <w:t xml:space="preserve">Should </w:t>
      </w:r>
      <w:r w:rsidRPr="00B52B89">
        <w:rPr>
          <w:lang w:val="en-GB"/>
        </w:rPr>
        <w:tab/>
      </w:r>
      <w:r w:rsidRPr="00B52B89">
        <w:rPr>
          <w:b/>
          <w:bCs/>
          <w:lang w:val="en-GB"/>
        </w:rPr>
        <w:t>ensure the confidentiality and integrity, as well as a high level of security</w:t>
      </w:r>
      <w:r w:rsidRPr="00B52B89">
        <w:rPr>
          <w:lang w:val="en-GB"/>
        </w:rPr>
        <w:t xml:space="preserve"> of the exchanged information;</w:t>
      </w:r>
    </w:p>
    <w:p w14:paraId="1BC018EC" w14:textId="77777777" w:rsidR="00A81EA2" w:rsidRPr="00B52B89" w:rsidRDefault="00A81EA2" w:rsidP="00A81EA2">
      <w:pPr>
        <w:pStyle w:val="Lijstalinea"/>
        <w:numPr>
          <w:ilvl w:val="0"/>
          <w:numId w:val="37"/>
        </w:numPr>
        <w:spacing w:after="60"/>
        <w:rPr>
          <w:lang w:val="en-GB"/>
        </w:rPr>
      </w:pPr>
      <w:r w:rsidRPr="00B52B89">
        <w:rPr>
          <w:lang w:val="en-GB"/>
        </w:rPr>
        <w:t xml:space="preserve">Should be </w:t>
      </w:r>
      <w:r w:rsidRPr="00B52B89">
        <w:rPr>
          <w:b/>
          <w:bCs/>
          <w:lang w:val="en-GB"/>
        </w:rPr>
        <w:t>limited to what is technically necessary</w:t>
      </w:r>
      <w:r w:rsidRPr="00B52B89">
        <w:rPr>
          <w:lang w:val="en-GB"/>
        </w:rPr>
        <w:t xml:space="preserve"> for the exchange of evidence, and then </w:t>
      </w:r>
      <w:r w:rsidRPr="00B52B89">
        <w:rPr>
          <w:b/>
          <w:bCs/>
          <w:lang w:val="en-GB"/>
        </w:rPr>
        <w:t>only for the duration necessary</w:t>
      </w:r>
      <w:r w:rsidRPr="00B52B89">
        <w:rPr>
          <w:lang w:val="en-GB"/>
        </w:rPr>
        <w:t xml:space="preserve"> for that purpose (thus safeguarding necessity and storage limitation);</w:t>
      </w:r>
    </w:p>
    <w:p w14:paraId="3388D3DA" w14:textId="77777777" w:rsidR="00A81EA2" w:rsidRPr="00B52B89" w:rsidRDefault="00A81EA2" w:rsidP="00A81EA2">
      <w:pPr>
        <w:pStyle w:val="Lijstalinea"/>
        <w:numPr>
          <w:ilvl w:val="0"/>
          <w:numId w:val="37"/>
        </w:numPr>
        <w:spacing w:after="60"/>
        <w:rPr>
          <w:lang w:val="en-GB"/>
        </w:rPr>
      </w:pPr>
      <w:r w:rsidRPr="00B52B89">
        <w:rPr>
          <w:lang w:val="en-GB"/>
        </w:rPr>
        <w:lastRenderedPageBreak/>
        <w:t xml:space="preserve">Should not result in data being stored by the infrastructure longer than necessary </w:t>
      </w:r>
      <w:r w:rsidRPr="00B52B89">
        <w:rPr>
          <w:b/>
          <w:bCs/>
          <w:lang w:val="en-GB"/>
        </w:rPr>
        <w:t>after showing a preview of the relevant information</w:t>
      </w:r>
      <w:r w:rsidRPr="00B52B89">
        <w:rPr>
          <w:lang w:val="en-GB"/>
        </w:rPr>
        <w:t xml:space="preserve"> to the end user (thus safeguarding accuracy and transparency);</w:t>
      </w:r>
    </w:p>
    <w:p w14:paraId="23341BED" w14:textId="77777777" w:rsidR="00A81EA2" w:rsidRPr="00B52B89" w:rsidRDefault="00A81EA2" w:rsidP="00A81EA2">
      <w:pPr>
        <w:pStyle w:val="Lijstalinea"/>
        <w:numPr>
          <w:ilvl w:val="0"/>
          <w:numId w:val="37"/>
        </w:numPr>
        <w:spacing w:after="60"/>
        <w:rPr>
          <w:lang w:val="en-GB"/>
        </w:rPr>
      </w:pPr>
      <w:r w:rsidRPr="00B52B89">
        <w:rPr>
          <w:lang w:val="en-GB"/>
        </w:rPr>
        <w:t xml:space="preserve">Should be </w:t>
      </w:r>
      <w:r w:rsidRPr="00B52B89">
        <w:rPr>
          <w:b/>
          <w:bCs/>
          <w:lang w:val="en-GB"/>
        </w:rPr>
        <w:t>limited to what has been requested</w:t>
      </w:r>
      <w:r w:rsidRPr="00B52B89">
        <w:rPr>
          <w:lang w:val="en-GB"/>
        </w:rPr>
        <w:t xml:space="preserve"> and shall </w:t>
      </w:r>
      <w:r w:rsidRPr="00B52B89">
        <w:rPr>
          <w:b/>
          <w:bCs/>
          <w:lang w:val="en-GB"/>
        </w:rPr>
        <w:t xml:space="preserve">only be used by that authority for the purpose of the procedure </w:t>
      </w:r>
      <w:r w:rsidRPr="00B52B89">
        <w:rPr>
          <w:lang w:val="en-GB"/>
        </w:rPr>
        <w:t>for which the evidence was exchanged (thus safeguarding data minimisation and purpose limitation);</w:t>
      </w:r>
    </w:p>
    <w:p w14:paraId="212022C0" w14:textId="793951D4" w:rsidR="00A81EA2" w:rsidRPr="00B52B89" w:rsidRDefault="00A81EA2" w:rsidP="00A81EA2">
      <w:pPr>
        <w:rPr>
          <w:lang w:val="en-GB"/>
        </w:rPr>
      </w:pPr>
      <w:r w:rsidRPr="00B52B89">
        <w:rPr>
          <w:lang w:val="en-GB"/>
        </w:rPr>
        <w:t xml:space="preserve">Thus, fundamental data protection principles are mandatorily protected by the Regulation. The main requirement for the </w:t>
      </w:r>
      <w:r w:rsidR="00EA7D69" w:rsidRPr="00B52B89">
        <w:rPr>
          <w:lang w:val="en-GB"/>
        </w:rPr>
        <w:t>DE4A</w:t>
      </w:r>
      <w:r w:rsidRPr="00B52B89">
        <w:rPr>
          <w:lang w:val="en-GB"/>
        </w:rPr>
        <w:t xml:space="preserve"> project is therefore to design its infrastructure in such a way that all of these requirements are integrated and built into the infrastructure. </w:t>
      </w:r>
    </w:p>
    <w:p w14:paraId="0A62FCF6" w14:textId="0C09A689" w:rsidR="007120A4" w:rsidRPr="00B52B89" w:rsidRDefault="005A3F24" w:rsidP="00A81EA2">
      <w:pPr>
        <w:rPr>
          <w:lang w:val="en-GB" w:eastAsia="nl-NL"/>
        </w:rPr>
      </w:pPr>
      <w:r w:rsidRPr="00B52B89">
        <w:rPr>
          <w:lang w:val="en-GB"/>
        </w:rPr>
        <w:t xml:space="preserve">Compliance of these choices with European data protection law has been </w:t>
      </w:r>
      <w:r w:rsidR="00132C41" w:rsidRPr="00B52B89">
        <w:rPr>
          <w:lang w:val="en-GB" w:eastAsia="nl-NL"/>
        </w:rPr>
        <w:t>assessed by the European Data Protection Supervisor (EDPS) in its Opinion 8/2017 on the proposal for the SDGR</w:t>
      </w:r>
      <w:r w:rsidR="00C87A05">
        <w:rPr>
          <w:lang w:val="en-GB" w:eastAsia="nl-NL"/>
        </w:rPr>
        <w:fldChar w:fldCharType="begin"/>
      </w:r>
      <w:r w:rsidR="00C87A05">
        <w:rPr>
          <w:lang w:val="en-GB" w:eastAsia="nl-NL"/>
        </w:rPr>
        <w:instrText xml:space="preserve"> REF _Ref59118020 \r \h </w:instrText>
      </w:r>
      <w:r w:rsidR="00C87A05">
        <w:rPr>
          <w:lang w:val="en-GB" w:eastAsia="nl-NL"/>
        </w:rPr>
      </w:r>
      <w:r w:rsidR="00C87A05">
        <w:rPr>
          <w:lang w:val="en-GB" w:eastAsia="nl-NL"/>
        </w:rPr>
        <w:fldChar w:fldCharType="separate"/>
      </w:r>
      <w:r w:rsidR="00C87A05">
        <w:rPr>
          <w:lang w:val="en-GB" w:eastAsia="nl-NL"/>
        </w:rPr>
        <w:t>[5]</w:t>
      </w:r>
      <w:r w:rsidR="00C87A05">
        <w:rPr>
          <w:lang w:val="en-GB" w:eastAsia="nl-NL"/>
        </w:rPr>
        <w:fldChar w:fldCharType="end"/>
      </w:r>
      <w:r w:rsidR="00132C41" w:rsidRPr="00B52B89">
        <w:rPr>
          <w:lang w:val="en-GB" w:eastAsia="nl-NL"/>
        </w:rPr>
        <w:t>,</w:t>
      </w:r>
      <w:r w:rsidR="007A7344" w:rsidRPr="00B52B89">
        <w:rPr>
          <w:lang w:val="en-GB" w:eastAsia="nl-NL"/>
        </w:rPr>
        <w:t xml:space="preserve"> which generally</w:t>
      </w:r>
      <w:r w:rsidR="007120A4" w:rsidRPr="00B52B89">
        <w:rPr>
          <w:lang w:val="en-GB" w:eastAsia="nl-NL"/>
        </w:rPr>
        <w:t xml:space="preserve"> evaluated these requirements</w:t>
      </w:r>
      <w:r w:rsidR="007A7344" w:rsidRPr="00B52B89">
        <w:rPr>
          <w:lang w:val="en-GB" w:eastAsia="nl-NL"/>
        </w:rPr>
        <w:t xml:space="preserve"> favourabl</w:t>
      </w:r>
      <w:r w:rsidR="007120A4" w:rsidRPr="00B52B89">
        <w:rPr>
          <w:lang w:val="en-GB" w:eastAsia="nl-NL"/>
        </w:rPr>
        <w:t>y</w:t>
      </w:r>
      <w:r w:rsidR="007A7344" w:rsidRPr="00B52B89">
        <w:rPr>
          <w:lang w:val="en-GB" w:eastAsia="nl-NL"/>
        </w:rPr>
        <w:t xml:space="preserve">. </w:t>
      </w:r>
    </w:p>
    <w:p w14:paraId="68E1D672" w14:textId="51DABD77" w:rsidR="00A81EA2" w:rsidRPr="00B52B89" w:rsidRDefault="00A81EA2" w:rsidP="00A81EA2">
      <w:pPr>
        <w:rPr>
          <w:lang w:val="en-GB" w:eastAsia="nl-NL"/>
        </w:rPr>
      </w:pPr>
      <w:r w:rsidRPr="00B52B89">
        <w:rPr>
          <w:lang w:val="en-GB"/>
        </w:rPr>
        <w:t>Separate WP</w:t>
      </w:r>
      <w:r w:rsidR="007A7344" w:rsidRPr="00B52B89">
        <w:rPr>
          <w:lang w:val="en-GB"/>
        </w:rPr>
        <w:t>7</w:t>
      </w:r>
      <w:r w:rsidRPr="00B52B89">
        <w:rPr>
          <w:lang w:val="en-GB"/>
        </w:rPr>
        <w:t xml:space="preserve"> deliverables in the </w:t>
      </w:r>
      <w:r w:rsidR="00EA7D69" w:rsidRPr="00B52B89">
        <w:rPr>
          <w:lang w:val="en-GB"/>
        </w:rPr>
        <w:t>DE4A</w:t>
      </w:r>
      <w:r w:rsidRPr="00B52B89">
        <w:rPr>
          <w:lang w:val="en-GB"/>
        </w:rPr>
        <w:t xml:space="preserve"> project are dedicated to data protection</w:t>
      </w:r>
      <w:r w:rsidR="007120A4" w:rsidRPr="00B52B89">
        <w:rPr>
          <w:lang w:val="en-GB"/>
        </w:rPr>
        <w:t xml:space="preserve">, </w:t>
      </w:r>
      <w:r w:rsidR="00190B57" w:rsidRPr="00B52B89">
        <w:rPr>
          <w:lang w:val="en-GB"/>
        </w:rPr>
        <w:t>of which D7.1 Overview of legal and ethical requirements has been submitted thus far. W</w:t>
      </w:r>
      <w:r w:rsidRPr="00B52B89">
        <w:rPr>
          <w:lang w:val="en-GB"/>
        </w:rPr>
        <w:t>e refer to th</w:t>
      </w:r>
      <w:r w:rsidR="00190B57" w:rsidRPr="00B52B89">
        <w:rPr>
          <w:lang w:val="en-GB"/>
        </w:rPr>
        <w:t>is</w:t>
      </w:r>
      <w:r w:rsidRPr="00B52B89">
        <w:rPr>
          <w:lang w:val="en-GB"/>
        </w:rPr>
        <w:t xml:space="preserve"> deliverable to examine details on the measures taken to ensure compliance with EU data protection law. </w:t>
      </w:r>
    </w:p>
    <w:p w14:paraId="3741BD69" w14:textId="77777777" w:rsidR="00220A38" w:rsidRPr="00B52B89" w:rsidRDefault="00190B57" w:rsidP="00220A38">
      <w:pPr>
        <w:rPr>
          <w:lang w:val="en-GB"/>
        </w:rPr>
      </w:pPr>
      <w:r w:rsidRPr="00B52B89">
        <w:rPr>
          <w:lang w:val="en-GB"/>
        </w:rPr>
        <w:t>As is also highlighted in that deliverable, t</w:t>
      </w:r>
      <w:r w:rsidR="00A81EA2" w:rsidRPr="00B52B89">
        <w:rPr>
          <w:lang w:val="en-GB"/>
        </w:rPr>
        <w:t>he General Data Protection Regulation, as the principal EU level legislation on the fundamental right to data protection, stipulates that a data protection impact assessment (DPIA) should be completed whenever a type of processing, in particular using new technologies, and taking into account the nature, scope, context and purposes of the processing, is likely to result in a high risk to the rights and freedoms of natural persons (article 35 of the GDPR). While the processing activities will be</w:t>
      </w:r>
      <w:r w:rsidR="00220A38" w:rsidRPr="00B52B89">
        <w:rPr>
          <w:lang w:val="en-GB"/>
        </w:rPr>
        <w:t xml:space="preserve"> largely</w:t>
      </w:r>
      <w:r w:rsidR="00A81EA2" w:rsidRPr="00B52B89">
        <w:rPr>
          <w:lang w:val="en-GB"/>
        </w:rPr>
        <w:t xml:space="preserve"> justified under the Single Digital Gateway Regulation, it is none the less </w:t>
      </w:r>
      <w:r w:rsidR="00A81EA2" w:rsidRPr="00B52B89">
        <w:rPr>
          <w:b/>
          <w:bCs/>
          <w:lang w:val="en-GB"/>
        </w:rPr>
        <w:t>strongly recommended to conduct a formal DPIA</w:t>
      </w:r>
      <w:r w:rsidR="00A81EA2" w:rsidRPr="00B52B89">
        <w:rPr>
          <w:lang w:val="en-GB"/>
        </w:rPr>
        <w:t xml:space="preserve"> in order to assess precisely how these risks will be mitigated in practice. </w:t>
      </w:r>
    </w:p>
    <w:p w14:paraId="282F00B7" w14:textId="22141A77" w:rsidR="00A81EA2" w:rsidRPr="00B52B89" w:rsidRDefault="00220A38" w:rsidP="00220A38">
      <w:pPr>
        <w:rPr>
          <w:lang w:val="en-GB"/>
        </w:rPr>
      </w:pPr>
      <w:r w:rsidRPr="00B52B89">
        <w:rPr>
          <w:lang w:val="en-GB"/>
        </w:rPr>
        <w:t>T</w:t>
      </w:r>
      <w:r w:rsidR="00A81EA2" w:rsidRPr="00B52B89">
        <w:rPr>
          <w:lang w:val="en-GB"/>
        </w:rPr>
        <w:t xml:space="preserve">he implementation of </w:t>
      </w:r>
      <w:r w:rsidRPr="00B52B89">
        <w:rPr>
          <w:b/>
          <w:bCs/>
          <w:lang w:val="en-GB"/>
        </w:rPr>
        <w:t>the p</w:t>
      </w:r>
      <w:r w:rsidR="00A81EA2" w:rsidRPr="00B52B89">
        <w:rPr>
          <w:b/>
          <w:bCs/>
          <w:lang w:val="en-GB"/>
        </w:rPr>
        <w:t>rior request and preview mechanisms</w:t>
      </w:r>
      <w:r w:rsidR="00A81EA2" w:rsidRPr="00B52B89">
        <w:rPr>
          <w:lang w:val="en-GB"/>
        </w:rPr>
        <w:t xml:space="preserve"> are important, since these are the main safeguards against negative impacts on European citizens and businesses</w:t>
      </w:r>
      <w:r w:rsidRPr="00B52B89">
        <w:rPr>
          <w:lang w:val="en-GB"/>
        </w:rPr>
        <w:t>, as are the potential further use of exchanged evidence for other procedures</w:t>
      </w:r>
      <w:r w:rsidR="00727915" w:rsidRPr="00B52B89">
        <w:rPr>
          <w:lang w:val="en-GB"/>
        </w:rPr>
        <w:t>, since these can negatively impact users in a way that they cannot foresee</w:t>
      </w:r>
      <w:r w:rsidR="00A81EA2" w:rsidRPr="00B52B89">
        <w:rPr>
          <w:lang w:val="en-GB"/>
        </w:rPr>
        <w:t xml:space="preserve">. Finally, it is also important to opt for a </w:t>
      </w:r>
      <w:r w:rsidR="00A81EA2" w:rsidRPr="00B52B89">
        <w:rPr>
          <w:b/>
          <w:bCs/>
          <w:lang w:val="en-GB"/>
        </w:rPr>
        <w:t>decentralised architecture in which no information about the end users is centrally stored</w:t>
      </w:r>
      <w:r w:rsidR="00A81EA2" w:rsidRPr="00B52B89">
        <w:rPr>
          <w:lang w:val="en-GB"/>
        </w:rPr>
        <w:t>, since this otherwise creates a risk of systematic monitoring of citizens, profiling of their behaviour, and unlawful re-use of their personal data in a way that would be contrary to both the GDPR and the Single Digital Gateway Regulation.</w:t>
      </w:r>
    </w:p>
    <w:p w14:paraId="2E3B2474" w14:textId="77777777" w:rsidR="00A81EA2" w:rsidRPr="00B52B89" w:rsidRDefault="00A81EA2" w:rsidP="00A81EA2">
      <w:pPr>
        <w:rPr>
          <w:lang w:val="en-GB"/>
        </w:rPr>
      </w:pPr>
      <w:r w:rsidRPr="00B52B89">
        <w:rPr>
          <w:lang w:val="en-GB"/>
        </w:rPr>
        <w:t xml:space="preserve">In this way, privacy by design and privacy by default are embedded into the system architecture, in compliance with the requirements of the GDPR and the fundamental principles of Responsible Research and Innovation. </w:t>
      </w:r>
    </w:p>
    <w:p w14:paraId="422456AD" w14:textId="77777777" w:rsidR="00A81EA2" w:rsidRPr="00B52B89" w:rsidRDefault="00A81EA2" w:rsidP="00A81EA2">
      <w:pPr>
        <w:rPr>
          <w:lang w:val="en-GB"/>
        </w:rPr>
      </w:pPr>
    </w:p>
    <w:p w14:paraId="071E0F8E" w14:textId="77777777" w:rsidR="00A81EA2" w:rsidRPr="00B52B89" w:rsidRDefault="00A81EA2" w:rsidP="00A81EA2">
      <w:pPr>
        <w:pStyle w:val="Kop3"/>
        <w:rPr>
          <w:lang w:val="en-GB"/>
        </w:rPr>
      </w:pPr>
      <w:bookmarkStart w:id="30" w:name="_Toc36421356"/>
      <w:bookmarkStart w:id="31" w:name="_Toc58969833"/>
      <w:bookmarkStart w:id="32" w:name="_Toc59118133"/>
      <w:r w:rsidRPr="00B52B89">
        <w:rPr>
          <w:b/>
          <w:lang w:val="en-GB"/>
        </w:rPr>
        <w:t>Equality</w:t>
      </w:r>
      <w:r w:rsidRPr="00B52B89">
        <w:rPr>
          <w:lang w:val="en-GB"/>
        </w:rPr>
        <w:t>, including non-discrimination and rights of minorities and of societally more vulnerable parties</w:t>
      </w:r>
      <w:bookmarkEnd w:id="30"/>
      <w:bookmarkEnd w:id="31"/>
      <w:bookmarkEnd w:id="32"/>
    </w:p>
    <w:p w14:paraId="7B0E2534" w14:textId="7DDB2A53" w:rsidR="00A81EA2" w:rsidRPr="00B52B89" w:rsidRDefault="00A81EA2" w:rsidP="00A81EA2">
      <w:pPr>
        <w:rPr>
          <w:lang w:val="en-GB"/>
        </w:rPr>
      </w:pPr>
      <w:r w:rsidRPr="00B52B89">
        <w:rPr>
          <w:lang w:val="en-GB"/>
        </w:rPr>
        <w:t xml:space="preserve">A potential risk is that the </w:t>
      </w:r>
      <w:r w:rsidR="00EA7D69" w:rsidRPr="00B52B89">
        <w:rPr>
          <w:lang w:val="en-GB"/>
        </w:rPr>
        <w:t>DE4A</w:t>
      </w:r>
      <w:r w:rsidRPr="00B52B89">
        <w:rPr>
          <w:lang w:val="en-GB"/>
        </w:rPr>
        <w:t xml:space="preserve"> services would be accessible only to parties with adequate digital literacy and adequate digital infrastructure and connectivity, thus becoming a manifestation of the </w:t>
      </w:r>
      <w:r w:rsidRPr="00B52B89">
        <w:rPr>
          <w:b/>
          <w:bCs/>
          <w:lang w:val="en-GB"/>
        </w:rPr>
        <w:t>digital divide</w:t>
      </w:r>
      <w:r w:rsidRPr="00B52B89">
        <w:rPr>
          <w:lang w:val="en-GB"/>
        </w:rPr>
        <w:t xml:space="preserve"> concern: some parties would benefit from </w:t>
      </w:r>
      <w:r w:rsidR="00EA7D69" w:rsidRPr="00B52B89">
        <w:rPr>
          <w:lang w:val="en-GB"/>
        </w:rPr>
        <w:t>DE4A</w:t>
      </w:r>
      <w:r w:rsidRPr="00B52B89">
        <w:rPr>
          <w:lang w:val="en-GB"/>
        </w:rPr>
        <w:t xml:space="preserve"> due to their capability of working with a potentially complex IT system, whereas others would be left behind for reasons beyond their reasonable control. This would be particularly detrimental in the context of </w:t>
      </w:r>
      <w:r w:rsidR="00EA7D69" w:rsidRPr="00B52B89">
        <w:rPr>
          <w:lang w:val="en-GB"/>
        </w:rPr>
        <w:t>DE4A</w:t>
      </w:r>
      <w:r w:rsidRPr="00B52B89">
        <w:rPr>
          <w:lang w:val="en-GB"/>
        </w:rPr>
        <w:t xml:space="preserve">, since the exchanges relate to public sector services, and there would thus be a negative impact in citizens’ ability to satisfy legal obligations imposed by the government (either their own government, or in other Member States). </w:t>
      </w:r>
    </w:p>
    <w:p w14:paraId="25BB5D1D" w14:textId="264F44EB" w:rsidR="008C6597" w:rsidRPr="00B52B89" w:rsidRDefault="00A81EA2" w:rsidP="00D16051">
      <w:pPr>
        <w:rPr>
          <w:lang w:val="en-GB"/>
        </w:rPr>
      </w:pPr>
      <w:r w:rsidRPr="00B52B89">
        <w:rPr>
          <w:lang w:val="en-GB"/>
        </w:rPr>
        <w:t xml:space="preserve">This concern is </w:t>
      </w:r>
      <w:r w:rsidR="008C6597" w:rsidRPr="00B52B89">
        <w:rPr>
          <w:lang w:val="en-GB"/>
        </w:rPr>
        <w:t xml:space="preserve">partially </w:t>
      </w:r>
      <w:r w:rsidRPr="00B52B89">
        <w:rPr>
          <w:lang w:val="en-GB"/>
        </w:rPr>
        <w:t xml:space="preserve">mitigated </w:t>
      </w:r>
      <w:r w:rsidR="00D16051" w:rsidRPr="00B52B89">
        <w:rPr>
          <w:lang w:val="en-GB"/>
        </w:rPr>
        <w:t>by the fact</w:t>
      </w:r>
      <w:r w:rsidRPr="00B52B89">
        <w:rPr>
          <w:lang w:val="en-GB"/>
        </w:rPr>
        <w:t xml:space="preserve"> that use of the technical system should </w:t>
      </w:r>
      <w:r w:rsidRPr="00B52B89">
        <w:rPr>
          <w:b/>
          <w:bCs/>
          <w:lang w:val="en-GB"/>
        </w:rPr>
        <w:t xml:space="preserve">not be mandatory, and that the users are permitted to submit evidence by means other than the technical system. </w:t>
      </w:r>
      <w:r w:rsidRPr="00B52B89">
        <w:rPr>
          <w:lang w:val="en-GB"/>
        </w:rPr>
        <w:t xml:space="preserve">Thus, any accessibility concerns created by </w:t>
      </w:r>
      <w:r w:rsidR="00EA7D69" w:rsidRPr="00B52B89">
        <w:rPr>
          <w:lang w:val="en-GB"/>
        </w:rPr>
        <w:t>DE4A</w:t>
      </w:r>
      <w:r w:rsidRPr="00B52B89">
        <w:rPr>
          <w:lang w:val="en-GB"/>
        </w:rPr>
        <w:t xml:space="preserve"> – which should of course be minimised – </w:t>
      </w:r>
      <w:r w:rsidRPr="00B52B89">
        <w:rPr>
          <w:lang w:val="en-GB"/>
        </w:rPr>
        <w:lastRenderedPageBreak/>
        <w:t xml:space="preserve">should not impair accessibility of the underlying governmental services, since citizens and businesses are always allowed to access those services without resorting to </w:t>
      </w:r>
      <w:r w:rsidR="00EA7D69" w:rsidRPr="00B52B89">
        <w:rPr>
          <w:lang w:val="en-GB"/>
        </w:rPr>
        <w:t>DE4A</w:t>
      </w:r>
      <w:r w:rsidRPr="00B52B89">
        <w:rPr>
          <w:lang w:val="en-GB"/>
        </w:rPr>
        <w:t xml:space="preserve">’s infrastructure. </w:t>
      </w:r>
    </w:p>
    <w:p w14:paraId="70B2DA9E" w14:textId="11E83BF4" w:rsidR="008C6597" w:rsidRPr="00B52B89" w:rsidRDefault="008C6597" w:rsidP="008C6597">
      <w:pPr>
        <w:spacing w:after="60"/>
        <w:rPr>
          <w:lang w:val="en-GB"/>
        </w:rPr>
      </w:pPr>
      <w:r w:rsidRPr="00B52B89">
        <w:rPr>
          <w:lang w:val="en-GB"/>
        </w:rPr>
        <w:t xml:space="preserve">Additionally, DE4A’s use cases cover </w:t>
      </w:r>
      <w:r w:rsidRPr="00B52B89">
        <w:rPr>
          <w:b/>
          <w:bCs/>
          <w:lang w:val="en-GB"/>
        </w:rPr>
        <w:t xml:space="preserve">existing legally required exchanges, </w:t>
      </w:r>
      <w:r w:rsidRPr="00B52B89">
        <w:rPr>
          <w:lang w:val="en-GB"/>
        </w:rPr>
        <w:t xml:space="preserve">which users would at any rate need to satisfy. In other words, DE4A will not result in an obligation to engage in an administrative procedure where none was required before. As such, all parties that would use DE4A would have needed to face the existing administrative burdens, and would receive DE4A as an additional alternative channel to satisfy and mitigate these burdens. They are free to use DE4A to satisfy these burdens more easily, or can use traditional channels if they perceive no sufficient benefits to DE4A. </w:t>
      </w:r>
      <w:r w:rsidRPr="00B52B89">
        <w:rPr>
          <w:b/>
          <w:bCs/>
          <w:lang w:val="en-GB"/>
        </w:rPr>
        <w:t xml:space="preserve"> </w:t>
      </w:r>
    </w:p>
    <w:p w14:paraId="004F372C" w14:textId="549615D2" w:rsidR="00A81EA2" w:rsidRPr="00B52B89" w:rsidRDefault="001611ED" w:rsidP="00A81EA2">
      <w:pPr>
        <w:rPr>
          <w:lang w:val="en-GB"/>
        </w:rPr>
      </w:pPr>
      <w:r w:rsidRPr="00B52B89">
        <w:rPr>
          <w:lang w:val="en-GB"/>
        </w:rPr>
        <w:t>None the less, these considerations do not e</w:t>
      </w:r>
      <w:r w:rsidR="00A81EA2" w:rsidRPr="00B52B89">
        <w:rPr>
          <w:lang w:val="en-GB"/>
        </w:rPr>
        <w:t xml:space="preserve">xclude </w:t>
      </w:r>
      <w:r w:rsidR="00A81EA2" w:rsidRPr="00B52B89">
        <w:rPr>
          <w:b/>
          <w:bCs/>
          <w:lang w:val="en-GB"/>
        </w:rPr>
        <w:t xml:space="preserve">the possibility that the </w:t>
      </w:r>
      <w:r w:rsidRPr="00B52B89">
        <w:rPr>
          <w:b/>
          <w:bCs/>
          <w:lang w:val="en-GB"/>
        </w:rPr>
        <w:t xml:space="preserve">digital </w:t>
      </w:r>
      <w:r w:rsidR="00A81EA2" w:rsidRPr="00B52B89">
        <w:rPr>
          <w:b/>
          <w:bCs/>
          <w:lang w:val="en-GB"/>
        </w:rPr>
        <w:t>services are inaccessible to some persons</w:t>
      </w:r>
      <w:r w:rsidR="00A81EA2" w:rsidRPr="00B52B89">
        <w:rPr>
          <w:lang w:val="en-GB"/>
        </w:rPr>
        <w:t xml:space="preserve"> (e.g. because the underlying process must be done digitally, is technologically complex, uses inaccessible formal language and so forth</w:t>
      </w:r>
      <w:r w:rsidRPr="00B52B89">
        <w:rPr>
          <w:lang w:val="en-GB"/>
        </w:rPr>
        <w:t>)</w:t>
      </w:r>
      <w:r w:rsidR="00A81EA2" w:rsidRPr="00B52B89">
        <w:rPr>
          <w:lang w:val="en-GB"/>
        </w:rPr>
        <w:t xml:space="preserve">. </w:t>
      </w:r>
      <w:r w:rsidR="001F57DC" w:rsidRPr="00B52B89">
        <w:rPr>
          <w:lang w:val="en-GB"/>
        </w:rPr>
        <w:t xml:space="preserve">This is an ethical concern, since the outcome may be that able persons are capable of satisfying procedural requirements more easily than less able persons, such as those who are less digitally literate. This creates a de facto inequality, since it places persons who already have clear benefits </w:t>
      </w:r>
      <w:r w:rsidR="0039068C" w:rsidRPr="00B52B89">
        <w:rPr>
          <w:lang w:val="en-GB"/>
        </w:rPr>
        <w:t xml:space="preserve">in an even more favourable position. </w:t>
      </w:r>
    </w:p>
    <w:p w14:paraId="1532B23A" w14:textId="77777777" w:rsidR="009E09F0" w:rsidRDefault="0039068C" w:rsidP="00961A01">
      <w:pPr>
        <w:rPr>
          <w:lang w:val="en-GB"/>
        </w:rPr>
      </w:pPr>
      <w:r w:rsidRPr="00B52B89">
        <w:rPr>
          <w:lang w:val="en-GB"/>
        </w:rPr>
        <w:t>To a certain extent, this ethical issue is inherent to optional e-government services: as long as electronic services are only available upon request (as opposed to being used automatically whenever</w:t>
      </w:r>
      <w:r w:rsidR="00EF186F" w:rsidRPr="00B52B89">
        <w:rPr>
          <w:lang w:val="en-GB"/>
        </w:rPr>
        <w:t xml:space="preserve"> appropriate), inequality automatically occurs. The only structural way to resolve this problem would be to require once-only exchanges to </w:t>
      </w:r>
      <w:r w:rsidR="00EF186F" w:rsidRPr="00B52B89">
        <w:rPr>
          <w:i/>
          <w:iCs/>
          <w:lang w:val="en-GB"/>
        </w:rPr>
        <w:t xml:space="preserve">also </w:t>
      </w:r>
      <w:r w:rsidR="00EF186F" w:rsidRPr="00B52B89">
        <w:rPr>
          <w:lang w:val="en-GB"/>
        </w:rPr>
        <w:t>occur whenever this is possible and results in a benefit to the end user</w:t>
      </w:r>
      <w:r w:rsidR="0033266C" w:rsidRPr="00B52B89">
        <w:rPr>
          <w:lang w:val="en-GB"/>
        </w:rPr>
        <w:t xml:space="preserve"> (even independently of any prior request); but this is not the policy option that was chosen by the Single Digital Gateway Regulation.</w:t>
      </w:r>
      <w:r w:rsidR="0099480A">
        <w:rPr>
          <w:lang w:val="en-GB"/>
        </w:rPr>
        <w:t xml:space="preserve"> </w:t>
      </w:r>
    </w:p>
    <w:p w14:paraId="1CCFF9F3" w14:textId="74CF9A9D" w:rsidR="0039068C" w:rsidRPr="0016054A" w:rsidRDefault="0099480A" w:rsidP="00961A01">
      <w:pPr>
        <w:rPr>
          <w:lang w:val="en-GB"/>
        </w:rPr>
      </w:pPr>
      <w:r>
        <w:rPr>
          <w:lang w:val="en-GB"/>
        </w:rPr>
        <w:t>Nor is this likely to change</w:t>
      </w:r>
      <w:r w:rsidR="00B055CC">
        <w:rPr>
          <w:lang w:val="en-GB"/>
        </w:rPr>
        <w:t xml:space="preserve"> in the near future; the recent </w:t>
      </w:r>
      <w:r w:rsidR="00B055CC" w:rsidRPr="00B055CC">
        <w:rPr>
          <w:lang w:val="en-GB"/>
        </w:rPr>
        <w:t>Berlin Declaration</w:t>
      </w:r>
      <w:r w:rsidR="00B055CC">
        <w:rPr>
          <w:lang w:val="en-GB"/>
        </w:rPr>
        <w:t xml:space="preserve"> </w:t>
      </w:r>
      <w:r w:rsidR="00B055CC" w:rsidRPr="00B055CC">
        <w:rPr>
          <w:lang w:val="en-GB"/>
        </w:rPr>
        <w:t>on</w:t>
      </w:r>
      <w:r w:rsidR="00B055CC">
        <w:rPr>
          <w:lang w:val="en-GB"/>
        </w:rPr>
        <w:t xml:space="preserve"> </w:t>
      </w:r>
      <w:r w:rsidR="00B055CC" w:rsidRPr="00B055CC">
        <w:rPr>
          <w:lang w:val="en-GB"/>
        </w:rPr>
        <w:t>Digital Society and</w:t>
      </w:r>
      <w:r w:rsidR="00B055CC">
        <w:rPr>
          <w:lang w:val="en-GB"/>
        </w:rPr>
        <w:t xml:space="preserve"> </w:t>
      </w:r>
      <w:r w:rsidR="00B055CC" w:rsidRPr="00B055CC">
        <w:rPr>
          <w:lang w:val="en-GB"/>
        </w:rPr>
        <w:t>Value-Based Digital Government</w:t>
      </w:r>
      <w:r w:rsidR="00B055CC">
        <w:rPr>
          <w:lang w:val="en-GB"/>
        </w:rPr>
        <w:t xml:space="preserve"> of </w:t>
      </w:r>
      <w:r w:rsidR="00B055CC" w:rsidRPr="00B055CC">
        <w:rPr>
          <w:lang w:val="en-GB"/>
        </w:rPr>
        <w:t>8 December 2020</w:t>
      </w:r>
      <w:r w:rsidR="00011C58">
        <w:rPr>
          <w:lang w:val="en-GB"/>
        </w:rPr>
        <w:fldChar w:fldCharType="begin"/>
      </w:r>
      <w:r w:rsidR="00011C58">
        <w:rPr>
          <w:lang w:val="en-GB"/>
        </w:rPr>
        <w:instrText xml:space="preserve"> REF _Ref59118078 \r \h </w:instrText>
      </w:r>
      <w:r w:rsidR="00011C58">
        <w:rPr>
          <w:lang w:val="en-GB"/>
        </w:rPr>
      </w:r>
      <w:r w:rsidR="00011C58">
        <w:rPr>
          <w:lang w:val="en-GB"/>
        </w:rPr>
        <w:fldChar w:fldCharType="separate"/>
      </w:r>
      <w:r w:rsidR="00011C58">
        <w:rPr>
          <w:lang w:val="en-GB"/>
        </w:rPr>
        <w:t>[6]</w:t>
      </w:r>
      <w:r w:rsidR="00011C58">
        <w:rPr>
          <w:lang w:val="en-GB"/>
        </w:rPr>
        <w:fldChar w:fldCharType="end"/>
      </w:r>
      <w:r w:rsidR="00B055CC" w:rsidRPr="00B055CC">
        <w:rPr>
          <w:lang w:val="en-GB"/>
        </w:rPr>
        <w:t xml:space="preserve"> </w:t>
      </w:r>
      <w:r w:rsidR="00B055CC" w:rsidRPr="0016054A">
        <w:rPr>
          <w:lang w:val="en-GB"/>
        </w:rPr>
        <w:t>noted that “</w:t>
      </w:r>
      <w:r w:rsidR="00B055CC" w:rsidRPr="0016054A">
        <w:rPr>
          <w:i/>
          <w:iCs/>
          <w:lang w:val="en-GB"/>
        </w:rPr>
        <w:t xml:space="preserve">What is at stake is true digital empowerment of our </w:t>
      </w:r>
      <w:r w:rsidR="00B055CC" w:rsidRPr="0016054A">
        <w:rPr>
          <w:i/>
          <w:iCs/>
          <w:u w:val="single"/>
          <w:lang w:val="en-GB"/>
        </w:rPr>
        <w:t>citizens who want to benefit from a digitalised world</w:t>
      </w:r>
      <w:r w:rsidR="00B055CC" w:rsidRPr="0016054A">
        <w:rPr>
          <w:i/>
          <w:iCs/>
          <w:lang w:val="en-GB"/>
        </w:rPr>
        <w:t>. Everyone should be able to seize the opportunities offered by digitalisation. No one should be left behind</w:t>
      </w:r>
      <w:r w:rsidR="0016054A">
        <w:rPr>
          <w:i/>
          <w:iCs/>
          <w:lang w:val="en-GB"/>
        </w:rPr>
        <w:t>”</w:t>
      </w:r>
      <w:r w:rsidR="0016054A" w:rsidRPr="0016054A">
        <w:rPr>
          <w:lang w:val="en-GB"/>
        </w:rPr>
        <w:t>, and that</w:t>
      </w:r>
      <w:r w:rsidR="00961A01">
        <w:rPr>
          <w:lang w:val="en-GB"/>
        </w:rPr>
        <w:t xml:space="preserve"> the Signatories of the Declaration “</w:t>
      </w:r>
      <w:r w:rsidR="00961A01" w:rsidRPr="00961A01">
        <w:rPr>
          <w:i/>
          <w:iCs/>
          <w:lang w:val="en-GB"/>
        </w:rPr>
        <w:t>Promote responsible and legally compliant re-use of data and the Once-Only Principle in line with the</w:t>
      </w:r>
      <w:r w:rsidR="00961A01">
        <w:rPr>
          <w:i/>
          <w:iCs/>
          <w:lang w:val="en-GB"/>
        </w:rPr>
        <w:t xml:space="preserve"> </w:t>
      </w:r>
      <w:r w:rsidR="00961A01" w:rsidRPr="00961A01">
        <w:rPr>
          <w:i/>
          <w:iCs/>
          <w:lang w:val="en-GB"/>
        </w:rPr>
        <w:t xml:space="preserve">Tallinn Declaration and encourage </w:t>
      </w:r>
      <w:r w:rsidR="00961A01" w:rsidRPr="009E09F0">
        <w:rPr>
          <w:i/>
          <w:iCs/>
          <w:u w:val="single"/>
          <w:lang w:val="en-GB"/>
        </w:rPr>
        <w:t>new concepts such as personal data management based on user consent</w:t>
      </w:r>
      <w:r w:rsidR="009E09F0">
        <w:rPr>
          <w:i/>
          <w:iCs/>
          <w:u w:val="single"/>
          <w:lang w:val="en-GB"/>
        </w:rPr>
        <w:t xml:space="preserve">” </w:t>
      </w:r>
      <w:r w:rsidR="009E09F0">
        <w:rPr>
          <w:lang w:val="en-GB"/>
        </w:rPr>
        <w:t>(emphasis added)</w:t>
      </w:r>
      <w:r w:rsidR="00B055CC" w:rsidRPr="0016054A">
        <w:rPr>
          <w:i/>
          <w:iCs/>
          <w:lang w:val="en-GB"/>
        </w:rPr>
        <w:t>.</w:t>
      </w:r>
      <w:r w:rsidR="0033266C" w:rsidRPr="0016054A">
        <w:rPr>
          <w:lang w:val="en-GB"/>
        </w:rPr>
        <w:t xml:space="preserve"> </w:t>
      </w:r>
      <w:r w:rsidR="009E09F0">
        <w:rPr>
          <w:lang w:val="en-GB"/>
        </w:rPr>
        <w:t xml:space="preserve">In other words: here too, the emphasis is on individual stewardship and choice, rather than on automatic exchanges. </w:t>
      </w:r>
      <w:r w:rsidR="0033266C" w:rsidRPr="0016054A">
        <w:rPr>
          <w:lang w:val="en-GB"/>
        </w:rPr>
        <w:t xml:space="preserve">The choice is </w:t>
      </w:r>
      <w:r w:rsidR="009E09F0">
        <w:rPr>
          <w:lang w:val="en-GB"/>
        </w:rPr>
        <w:t xml:space="preserve">undoubtedly </w:t>
      </w:r>
      <w:r w:rsidR="0033266C" w:rsidRPr="0016054A">
        <w:rPr>
          <w:lang w:val="en-GB"/>
        </w:rPr>
        <w:t>legitimate</w:t>
      </w:r>
      <w:r w:rsidR="009E09F0">
        <w:rPr>
          <w:lang w:val="en-GB"/>
        </w:rPr>
        <w:t xml:space="preserve"> since it is the result of a balancing of interests</w:t>
      </w:r>
      <w:r w:rsidR="0033266C" w:rsidRPr="0016054A">
        <w:rPr>
          <w:lang w:val="en-GB"/>
        </w:rPr>
        <w:t xml:space="preserve">, but </w:t>
      </w:r>
      <w:r w:rsidR="009E09F0">
        <w:rPr>
          <w:lang w:val="en-GB"/>
        </w:rPr>
        <w:t xml:space="preserve">it </w:t>
      </w:r>
      <w:r w:rsidR="0033266C" w:rsidRPr="0016054A">
        <w:rPr>
          <w:lang w:val="en-GB"/>
        </w:rPr>
        <w:t xml:space="preserve">has negative ethical repercussions that require </w:t>
      </w:r>
      <w:r w:rsidR="009E09F0">
        <w:rPr>
          <w:lang w:val="en-GB"/>
        </w:rPr>
        <w:t xml:space="preserve">continued </w:t>
      </w:r>
      <w:r w:rsidR="0033266C" w:rsidRPr="0016054A">
        <w:rPr>
          <w:lang w:val="en-GB"/>
        </w:rPr>
        <w:t xml:space="preserve">evaluation. </w:t>
      </w:r>
    </w:p>
    <w:p w14:paraId="7A043273" w14:textId="19778CE3" w:rsidR="00A81EA2" w:rsidRPr="00B52B89" w:rsidRDefault="00A81EA2" w:rsidP="00A81EA2">
      <w:pPr>
        <w:rPr>
          <w:lang w:val="en-GB"/>
        </w:rPr>
      </w:pPr>
      <w:r w:rsidRPr="0016054A">
        <w:rPr>
          <w:lang w:val="en-GB"/>
        </w:rPr>
        <w:t xml:space="preserve">As a result of these factors, </w:t>
      </w:r>
      <w:r w:rsidR="00EA7D69" w:rsidRPr="0016054A">
        <w:rPr>
          <w:lang w:val="en-GB"/>
        </w:rPr>
        <w:t>DE4A</w:t>
      </w:r>
      <w:r w:rsidRPr="0016054A">
        <w:rPr>
          <w:lang w:val="en-GB"/>
        </w:rPr>
        <w:t xml:space="preserve"> is </w:t>
      </w:r>
      <w:r w:rsidRPr="0016054A">
        <w:rPr>
          <w:b/>
          <w:bCs/>
          <w:lang w:val="en-GB"/>
        </w:rPr>
        <w:t>unlikely to</w:t>
      </w:r>
      <w:r w:rsidR="00D265FF" w:rsidRPr="0016054A">
        <w:rPr>
          <w:b/>
          <w:bCs/>
          <w:lang w:val="en-GB"/>
        </w:rPr>
        <w:t xml:space="preserve"> have a significantly</w:t>
      </w:r>
      <w:r w:rsidRPr="0016054A">
        <w:rPr>
          <w:b/>
          <w:bCs/>
          <w:lang w:val="en-GB"/>
        </w:rPr>
        <w:t xml:space="preserve"> negative impact </w:t>
      </w:r>
      <w:r w:rsidR="00D265FF" w:rsidRPr="0016054A">
        <w:rPr>
          <w:b/>
          <w:bCs/>
          <w:lang w:val="en-GB"/>
        </w:rPr>
        <w:t xml:space="preserve">on </w:t>
      </w:r>
      <w:r w:rsidRPr="0016054A">
        <w:rPr>
          <w:b/>
          <w:bCs/>
          <w:lang w:val="en-GB"/>
        </w:rPr>
        <w:t>equality</w:t>
      </w:r>
      <w:r w:rsidR="00D265FF" w:rsidRPr="0016054A">
        <w:rPr>
          <w:b/>
          <w:bCs/>
          <w:lang w:val="en-GB"/>
        </w:rPr>
        <w:t xml:space="preserve">, </w:t>
      </w:r>
      <w:r w:rsidR="00D265FF" w:rsidRPr="0016054A">
        <w:rPr>
          <w:lang w:val="en-GB"/>
        </w:rPr>
        <w:t xml:space="preserve">provided that </w:t>
      </w:r>
      <w:r w:rsidRPr="0016054A">
        <w:rPr>
          <w:b/>
          <w:bCs/>
          <w:lang w:val="en-GB"/>
        </w:rPr>
        <w:t>accessibility of the design</w:t>
      </w:r>
      <w:r w:rsidRPr="0016054A">
        <w:rPr>
          <w:lang w:val="en-GB"/>
        </w:rPr>
        <w:t xml:space="preserve"> </w:t>
      </w:r>
      <w:r w:rsidR="00D265FF" w:rsidRPr="0016054A">
        <w:rPr>
          <w:lang w:val="en-GB"/>
        </w:rPr>
        <w:t xml:space="preserve">is prioritised </w:t>
      </w:r>
      <w:r w:rsidRPr="0016054A">
        <w:rPr>
          <w:lang w:val="en-GB"/>
        </w:rPr>
        <w:t>– in terms of technical user friendliness and complexity, as</w:t>
      </w:r>
      <w:r w:rsidRPr="00B52B89">
        <w:rPr>
          <w:lang w:val="en-GB"/>
        </w:rPr>
        <w:t xml:space="preserve"> well as e.g. choice of language and guidance for users – </w:t>
      </w:r>
      <w:r w:rsidR="00D265FF" w:rsidRPr="00B52B89">
        <w:rPr>
          <w:lang w:val="en-GB"/>
        </w:rPr>
        <w:t>and that appropriate support mechanisms are available to help such users who are unable to use the technical system.</w:t>
      </w:r>
    </w:p>
    <w:p w14:paraId="0E107113" w14:textId="77777777" w:rsidR="00A81EA2" w:rsidRPr="00B52B89" w:rsidRDefault="00A81EA2" w:rsidP="00A81EA2">
      <w:pPr>
        <w:rPr>
          <w:lang w:val="en-GB"/>
        </w:rPr>
      </w:pPr>
    </w:p>
    <w:p w14:paraId="27CE9B2E" w14:textId="5B6B5FFC" w:rsidR="00011C58" w:rsidRDefault="00011C58">
      <w:pPr>
        <w:spacing w:after="200" w:line="276" w:lineRule="auto"/>
        <w:jc w:val="left"/>
        <w:rPr>
          <w:lang w:val="en-GB"/>
        </w:rPr>
      </w:pPr>
      <w:r>
        <w:rPr>
          <w:lang w:val="en-GB"/>
        </w:rPr>
        <w:br w:type="page"/>
      </w:r>
    </w:p>
    <w:p w14:paraId="414E3691" w14:textId="77777777" w:rsidR="00A81EA2" w:rsidRPr="00B52B89" w:rsidRDefault="00A81EA2" w:rsidP="00A81EA2">
      <w:pPr>
        <w:pStyle w:val="Lijstalinea"/>
        <w:rPr>
          <w:lang w:val="en-GB"/>
        </w:rPr>
      </w:pPr>
    </w:p>
    <w:p w14:paraId="3C23ECCF" w14:textId="77777777" w:rsidR="00A81EA2" w:rsidRPr="00B52B89" w:rsidRDefault="00A81EA2" w:rsidP="00A81EA2">
      <w:pPr>
        <w:pStyle w:val="Kop3"/>
        <w:rPr>
          <w:lang w:val="en-GB"/>
        </w:rPr>
      </w:pPr>
      <w:bookmarkStart w:id="33" w:name="_Toc36421357"/>
      <w:bookmarkStart w:id="34" w:name="_Toc58969834"/>
      <w:bookmarkStart w:id="35" w:name="_Toc59118134"/>
      <w:r w:rsidRPr="00B52B89">
        <w:rPr>
          <w:b/>
          <w:lang w:val="en-GB"/>
        </w:rPr>
        <w:t>Solidarity</w:t>
      </w:r>
      <w:r w:rsidRPr="00B52B89">
        <w:rPr>
          <w:lang w:val="en-GB"/>
        </w:rPr>
        <w:t>, covering workers’ rights and labour rights, social security, collective bargaining, health care and environmental protection</w:t>
      </w:r>
      <w:bookmarkEnd w:id="33"/>
      <w:bookmarkEnd w:id="34"/>
      <w:bookmarkEnd w:id="35"/>
    </w:p>
    <w:p w14:paraId="4B24875C" w14:textId="77777777" w:rsidR="00A81EA2" w:rsidRPr="00B52B89" w:rsidRDefault="00A81EA2" w:rsidP="00A81EA2">
      <w:pPr>
        <w:rPr>
          <w:lang w:val="en-GB"/>
        </w:rPr>
      </w:pPr>
      <w:r w:rsidRPr="00B52B89">
        <w:rPr>
          <w:b/>
          <w:bCs/>
          <w:lang w:val="en-GB"/>
        </w:rPr>
        <w:t>No particular risks</w:t>
      </w:r>
      <w:r w:rsidRPr="00B52B89">
        <w:rPr>
          <w:lang w:val="en-GB"/>
        </w:rPr>
        <w:t xml:space="preserve"> are likely to emerge. As the project creates no new information exchanges, nor eliminates them, the change of modality of exchange is </w:t>
      </w:r>
      <w:r w:rsidRPr="00B52B89">
        <w:rPr>
          <w:b/>
          <w:bCs/>
          <w:lang w:val="en-GB"/>
        </w:rPr>
        <w:t>unlikely to impact solidarity</w:t>
      </w:r>
      <w:r w:rsidRPr="00B52B89">
        <w:rPr>
          <w:lang w:val="en-GB"/>
        </w:rPr>
        <w:t xml:space="preserve"> in any way, either negatively or positively.</w:t>
      </w:r>
    </w:p>
    <w:p w14:paraId="1AC77590" w14:textId="77777777" w:rsidR="00A81EA2" w:rsidRPr="00B52B89" w:rsidRDefault="00A81EA2" w:rsidP="00A81EA2">
      <w:pPr>
        <w:rPr>
          <w:lang w:val="en-GB"/>
        </w:rPr>
      </w:pPr>
    </w:p>
    <w:p w14:paraId="70F5D66C" w14:textId="77777777" w:rsidR="00A81EA2" w:rsidRPr="00B52B89" w:rsidRDefault="00A81EA2" w:rsidP="00A81EA2">
      <w:pPr>
        <w:pStyle w:val="Kop3"/>
        <w:rPr>
          <w:lang w:val="en-GB"/>
        </w:rPr>
      </w:pPr>
      <w:bookmarkStart w:id="36" w:name="_Toc36421358"/>
      <w:bookmarkStart w:id="37" w:name="_Toc58969835"/>
      <w:bookmarkStart w:id="38" w:name="_Toc59118135"/>
      <w:r w:rsidRPr="00B52B89">
        <w:rPr>
          <w:b/>
          <w:lang w:val="en-GB"/>
        </w:rPr>
        <w:t>Citizens' rights</w:t>
      </w:r>
      <w:r w:rsidRPr="00B52B89">
        <w:rPr>
          <w:lang w:val="en-GB"/>
        </w:rPr>
        <w:t>, such as the right to vote, to proper administration, access to documents and freedom of movement</w:t>
      </w:r>
      <w:bookmarkEnd w:id="36"/>
      <w:bookmarkEnd w:id="37"/>
      <w:bookmarkEnd w:id="38"/>
    </w:p>
    <w:p w14:paraId="22D19D94" w14:textId="368E799F" w:rsidR="00A81EA2" w:rsidRPr="00B52B89" w:rsidRDefault="00EA7D69" w:rsidP="00A81EA2">
      <w:pPr>
        <w:rPr>
          <w:b/>
          <w:bCs/>
          <w:lang w:val="en-GB"/>
        </w:rPr>
      </w:pPr>
      <w:r w:rsidRPr="00B52B89">
        <w:rPr>
          <w:lang w:val="en-GB"/>
        </w:rPr>
        <w:t>DE4A</w:t>
      </w:r>
      <w:r w:rsidR="00A81EA2" w:rsidRPr="00B52B89">
        <w:rPr>
          <w:lang w:val="en-GB"/>
        </w:rPr>
        <w:t xml:space="preserve"> aims to implement the once-only principle in cross-border transactions, and can thus be seen as a way to </w:t>
      </w:r>
      <w:r w:rsidR="00A81EA2" w:rsidRPr="00B52B89">
        <w:rPr>
          <w:b/>
          <w:bCs/>
          <w:lang w:val="en-GB"/>
        </w:rPr>
        <w:t>strengthen the right to proper administration</w:t>
      </w:r>
      <w:r w:rsidR="00A81EA2" w:rsidRPr="00B52B89">
        <w:rPr>
          <w:lang w:val="en-GB"/>
        </w:rPr>
        <w:t xml:space="preserve">. The lack of a </w:t>
      </w:r>
      <w:r w:rsidRPr="00B52B89">
        <w:rPr>
          <w:lang w:val="en-GB"/>
        </w:rPr>
        <w:t>DE4A</w:t>
      </w:r>
      <w:r w:rsidR="00A81EA2" w:rsidRPr="00B52B89">
        <w:rPr>
          <w:lang w:val="en-GB"/>
        </w:rPr>
        <w:t xml:space="preserve">-like infrastructure in the EU today means that citizens and businesses must spend time and resources identifying legal evidentiary requirements, collecting the relevant documents, and providing them to any needed recipients. Each step creates the risk of errors and inefficiencies, which the once-only principle and </w:t>
      </w:r>
      <w:r w:rsidRPr="00B52B89">
        <w:rPr>
          <w:lang w:val="en-GB"/>
        </w:rPr>
        <w:t>DE4A</w:t>
      </w:r>
      <w:r w:rsidR="00A81EA2" w:rsidRPr="00B52B89">
        <w:rPr>
          <w:lang w:val="en-GB"/>
        </w:rPr>
        <w:t xml:space="preserve"> aim to resolve. As such, </w:t>
      </w:r>
      <w:r w:rsidRPr="00B52B89">
        <w:rPr>
          <w:lang w:val="en-GB"/>
        </w:rPr>
        <w:t>DE4A</w:t>
      </w:r>
      <w:r w:rsidR="00A81EA2" w:rsidRPr="00B52B89">
        <w:rPr>
          <w:lang w:val="en-GB"/>
        </w:rPr>
        <w:t xml:space="preserve"> should have a</w:t>
      </w:r>
      <w:r w:rsidR="0049164F" w:rsidRPr="00B52B89">
        <w:rPr>
          <w:lang w:val="en-GB"/>
        </w:rPr>
        <w:t xml:space="preserve"> </w:t>
      </w:r>
      <w:r w:rsidR="0049164F" w:rsidRPr="00B52B89">
        <w:rPr>
          <w:b/>
          <w:bCs/>
          <w:lang w:val="en-GB"/>
        </w:rPr>
        <w:t>generally</w:t>
      </w:r>
      <w:r w:rsidR="00A81EA2" w:rsidRPr="00B52B89">
        <w:rPr>
          <w:lang w:val="en-GB"/>
        </w:rPr>
        <w:t xml:space="preserve"> </w:t>
      </w:r>
      <w:r w:rsidR="00A81EA2" w:rsidRPr="00B52B89">
        <w:rPr>
          <w:b/>
          <w:bCs/>
          <w:lang w:val="en-GB"/>
        </w:rPr>
        <w:t>beneficial impact on citizen’s rights.</w:t>
      </w:r>
    </w:p>
    <w:p w14:paraId="5E96FC73" w14:textId="12DC8AED" w:rsidR="00A81EA2" w:rsidRPr="00B52B89" w:rsidRDefault="00A81EA2" w:rsidP="00A81EA2">
      <w:pPr>
        <w:rPr>
          <w:lang w:val="en-GB"/>
        </w:rPr>
      </w:pPr>
      <w:r w:rsidRPr="00B52B89">
        <w:rPr>
          <w:lang w:val="en-GB"/>
        </w:rPr>
        <w:t xml:space="preserve">An important precondition is that the infrastructure is implemented and functions in a way that ensures its correct functioning, so that errors can be detected and addressed. In that light, in addition to what has already been stated above, it is important to ensure that </w:t>
      </w:r>
      <w:r w:rsidR="00EA7D69" w:rsidRPr="00B52B89">
        <w:rPr>
          <w:b/>
          <w:bCs/>
          <w:lang w:val="en-GB"/>
        </w:rPr>
        <w:t>DE4A</w:t>
      </w:r>
      <w:r w:rsidRPr="00B52B89">
        <w:rPr>
          <w:b/>
          <w:bCs/>
          <w:lang w:val="en-GB"/>
        </w:rPr>
        <w:t xml:space="preserve"> users are always provided with sufficient information to obtain assistance – including contact information from specific administrations – in case of any real or perceived problems. </w:t>
      </w:r>
      <w:r w:rsidRPr="00B52B89">
        <w:rPr>
          <w:lang w:val="en-GB"/>
        </w:rPr>
        <w:t xml:space="preserve">Otherwise, the quality of administration may suffer when potential problems go undetected. </w:t>
      </w:r>
    </w:p>
    <w:p w14:paraId="2FBB0D25" w14:textId="77777777" w:rsidR="00A93DC4" w:rsidRPr="00B52B89" w:rsidRDefault="0049164F" w:rsidP="00A81EA2">
      <w:pPr>
        <w:rPr>
          <w:lang w:val="en-GB"/>
        </w:rPr>
      </w:pPr>
      <w:r w:rsidRPr="00B52B89">
        <w:rPr>
          <w:lang w:val="en-GB"/>
        </w:rPr>
        <w:t>Furthermore,</w:t>
      </w:r>
      <w:r w:rsidR="00724270" w:rsidRPr="00B52B89">
        <w:rPr>
          <w:lang w:val="en-GB"/>
        </w:rPr>
        <w:t xml:space="preserve"> the aforementioned </w:t>
      </w:r>
      <w:r w:rsidR="00EB56C5" w:rsidRPr="00B52B89">
        <w:rPr>
          <w:lang w:val="en-GB"/>
        </w:rPr>
        <w:t>policy choice</w:t>
      </w:r>
      <w:r w:rsidR="00724270" w:rsidRPr="00B52B89">
        <w:rPr>
          <w:lang w:val="en-GB"/>
        </w:rPr>
        <w:t xml:space="preserve"> – namely that the once-only principle as </w:t>
      </w:r>
      <w:r w:rsidR="006660FA" w:rsidRPr="00B52B89">
        <w:rPr>
          <w:lang w:val="en-GB"/>
        </w:rPr>
        <w:t xml:space="preserve">envisaged in the SDGR is </w:t>
      </w:r>
      <w:r w:rsidR="0049525E" w:rsidRPr="00B52B89">
        <w:rPr>
          <w:lang w:val="en-GB"/>
        </w:rPr>
        <w:t>normally</w:t>
      </w:r>
      <w:r w:rsidR="006660FA" w:rsidRPr="00B52B89">
        <w:rPr>
          <w:lang w:val="en-GB"/>
        </w:rPr>
        <w:t xml:space="preserve"> driven by user request and user approval – also i</w:t>
      </w:r>
      <w:r w:rsidR="00EB56C5" w:rsidRPr="00B52B89">
        <w:rPr>
          <w:lang w:val="en-GB"/>
        </w:rPr>
        <w:t xml:space="preserve">mplies that the principle is suboptimal in terms of ensuring proper administration. Since the exchanges of evidence are </w:t>
      </w:r>
      <w:r w:rsidR="0049525E" w:rsidRPr="00B52B89">
        <w:rPr>
          <w:lang w:val="en-GB"/>
        </w:rPr>
        <w:t xml:space="preserve">usually triggered by prior request and approval, there are three vectors where </w:t>
      </w:r>
      <w:r w:rsidR="00A93DC4" w:rsidRPr="00B52B89">
        <w:rPr>
          <w:lang w:val="en-GB"/>
        </w:rPr>
        <w:t xml:space="preserve">good administration suffers: </w:t>
      </w:r>
    </w:p>
    <w:p w14:paraId="31CA687C" w14:textId="148950D7" w:rsidR="0049164F" w:rsidRPr="00B52B89" w:rsidRDefault="00A93DC4" w:rsidP="00A93DC4">
      <w:pPr>
        <w:pStyle w:val="Lijstalinea"/>
        <w:numPr>
          <w:ilvl w:val="0"/>
          <w:numId w:val="37"/>
        </w:numPr>
        <w:rPr>
          <w:lang w:val="en-GB"/>
        </w:rPr>
      </w:pPr>
      <w:r w:rsidRPr="00B52B89">
        <w:rPr>
          <w:lang w:val="en-GB"/>
        </w:rPr>
        <w:t xml:space="preserve">Firstly, users who are unaware that they could benefit from online services will be </w:t>
      </w:r>
      <w:r w:rsidR="00322EDA" w:rsidRPr="00B52B89">
        <w:rPr>
          <w:lang w:val="en-GB"/>
        </w:rPr>
        <w:t xml:space="preserve">unable to get any </w:t>
      </w:r>
      <w:r w:rsidR="008A69CC" w:rsidRPr="00B52B89">
        <w:rPr>
          <w:lang w:val="en-GB"/>
        </w:rPr>
        <w:t xml:space="preserve">such </w:t>
      </w:r>
      <w:r w:rsidR="00322EDA" w:rsidRPr="00B52B89">
        <w:rPr>
          <w:lang w:val="en-GB"/>
        </w:rPr>
        <w:t>benefit. Since they will make no request, no evidence will be exchanged, and th</w:t>
      </w:r>
      <w:r w:rsidR="008A69CC" w:rsidRPr="00B52B89">
        <w:rPr>
          <w:lang w:val="en-GB"/>
        </w:rPr>
        <w:t xml:space="preserve">ey will either lose the benefit, or be required to take additional steps (such as paper procedures) to obtain the benefit to which they are entitled. </w:t>
      </w:r>
    </w:p>
    <w:p w14:paraId="72EEF86E" w14:textId="34165528" w:rsidR="008A69CC" w:rsidRPr="00B52B89" w:rsidRDefault="008A69CC" w:rsidP="00A93DC4">
      <w:pPr>
        <w:pStyle w:val="Lijstalinea"/>
        <w:numPr>
          <w:ilvl w:val="0"/>
          <w:numId w:val="37"/>
        </w:numPr>
        <w:rPr>
          <w:lang w:val="en-GB"/>
        </w:rPr>
      </w:pPr>
      <w:r w:rsidRPr="00B52B89">
        <w:rPr>
          <w:lang w:val="en-GB"/>
        </w:rPr>
        <w:t xml:space="preserve">Secondly, the legitimate interests of third parties (other than the users) are not taken into consideration. </w:t>
      </w:r>
      <w:r w:rsidR="00327F13" w:rsidRPr="00B52B89">
        <w:rPr>
          <w:lang w:val="en-GB"/>
        </w:rPr>
        <w:t xml:space="preserve">By way of example: a user may choose to refuse to use the technical system, because they know that current evidences will be unfavourable to them </w:t>
      </w:r>
      <w:r w:rsidR="004B2385" w:rsidRPr="00B52B89">
        <w:rPr>
          <w:lang w:val="en-GB"/>
        </w:rPr>
        <w:t>(e.g. because it shows that they no longer have a required accreditation). Instead, they can seek to submit outdated credentials outside of the technical system</w:t>
      </w:r>
      <w:r w:rsidR="00690FD3" w:rsidRPr="00B52B89">
        <w:rPr>
          <w:lang w:val="en-GB"/>
        </w:rPr>
        <w:t xml:space="preserve">, allowing them to gain a benefit over a competitor that they should not have. In other words, the current user driven perspective on once-only allows </w:t>
      </w:r>
      <w:r w:rsidR="005308B6" w:rsidRPr="00B52B89">
        <w:rPr>
          <w:lang w:val="en-GB"/>
        </w:rPr>
        <w:t xml:space="preserve">users to continue to attempt to harm third parties if they desire to do so; the SDGR and the technical system in this case do not stop such behaviour. </w:t>
      </w:r>
    </w:p>
    <w:p w14:paraId="57CDA97C" w14:textId="7BC898F8" w:rsidR="005308B6" w:rsidRPr="00B52B89" w:rsidRDefault="005308B6" w:rsidP="00A93DC4">
      <w:pPr>
        <w:pStyle w:val="Lijstalinea"/>
        <w:numPr>
          <w:ilvl w:val="0"/>
          <w:numId w:val="37"/>
        </w:numPr>
        <w:rPr>
          <w:lang w:val="en-GB"/>
        </w:rPr>
      </w:pPr>
      <w:r w:rsidRPr="00B52B89">
        <w:rPr>
          <w:lang w:val="en-GB"/>
        </w:rPr>
        <w:t xml:space="preserve">Thirdly, the societal interest in good governance </w:t>
      </w:r>
      <w:r w:rsidR="00E35342" w:rsidRPr="00B52B89">
        <w:rPr>
          <w:lang w:val="en-GB"/>
        </w:rPr>
        <w:t xml:space="preserve">is not optimally served, for the same reason: since evidence is in principle exchanged based only on the users request and approval, the once-only principle cannot be used to detect socially harmful behaviour (such as intentional fraud, or accidental but harmful non-compliance with legal requirements). The chosen user driven perspective on once-only therefore </w:t>
      </w:r>
      <w:r w:rsidR="008A11D5" w:rsidRPr="00B52B89">
        <w:rPr>
          <w:lang w:val="en-GB"/>
        </w:rPr>
        <w:t xml:space="preserve">benefits individual interest over societal interest. </w:t>
      </w:r>
    </w:p>
    <w:p w14:paraId="59A16870" w14:textId="6523187B" w:rsidR="008A11D5" w:rsidRPr="00B52B89" w:rsidRDefault="008A11D5" w:rsidP="008A11D5">
      <w:pPr>
        <w:rPr>
          <w:lang w:val="en-GB"/>
        </w:rPr>
      </w:pPr>
    </w:p>
    <w:p w14:paraId="0E6F205F" w14:textId="4BD6F1A1" w:rsidR="008A11D5" w:rsidRDefault="008A11D5" w:rsidP="008A11D5">
      <w:pPr>
        <w:rPr>
          <w:lang w:val="en-GB"/>
        </w:rPr>
      </w:pPr>
      <w:r w:rsidRPr="00B52B89">
        <w:rPr>
          <w:lang w:val="en-GB"/>
        </w:rPr>
        <w:t xml:space="preserve">From these perspectives, the chosen approach of the </w:t>
      </w:r>
      <w:r w:rsidRPr="00B52B89">
        <w:rPr>
          <w:b/>
          <w:bCs/>
          <w:lang w:val="en-GB"/>
        </w:rPr>
        <w:t xml:space="preserve">SDGR </w:t>
      </w:r>
      <w:r w:rsidR="004F34FC" w:rsidRPr="00B52B89">
        <w:rPr>
          <w:b/>
          <w:bCs/>
          <w:lang w:val="en-GB"/>
        </w:rPr>
        <w:t>raises some ethical concerns on its ability to</w:t>
      </w:r>
      <w:r w:rsidRPr="00B52B89">
        <w:rPr>
          <w:b/>
          <w:bCs/>
          <w:lang w:val="en-GB"/>
        </w:rPr>
        <w:t xml:space="preserve"> </w:t>
      </w:r>
      <w:r w:rsidR="004F34FC" w:rsidRPr="00B52B89">
        <w:rPr>
          <w:b/>
          <w:bCs/>
          <w:lang w:val="en-GB"/>
        </w:rPr>
        <w:t xml:space="preserve">find an optimal balance between user interest, </w:t>
      </w:r>
      <w:r w:rsidRPr="00B52B89">
        <w:rPr>
          <w:b/>
          <w:bCs/>
          <w:lang w:val="en-GB"/>
        </w:rPr>
        <w:t>public interest and legitimate third party interests</w:t>
      </w:r>
      <w:r w:rsidR="004F34FC" w:rsidRPr="00B52B89">
        <w:rPr>
          <w:b/>
          <w:bCs/>
          <w:lang w:val="en-GB"/>
        </w:rPr>
        <w:t xml:space="preserve">. </w:t>
      </w:r>
      <w:r w:rsidR="004F34FC" w:rsidRPr="00B52B89">
        <w:rPr>
          <w:lang w:val="en-GB"/>
        </w:rPr>
        <w:lastRenderedPageBreak/>
        <w:t xml:space="preserve">The choice made by the SDGR is certainly legitimate, but requires future evaluation in order to assess if the chosen balance is </w:t>
      </w:r>
      <w:r w:rsidR="00580FE5" w:rsidRPr="00B52B89">
        <w:rPr>
          <w:lang w:val="en-GB"/>
        </w:rPr>
        <w:t xml:space="preserve">effective. </w:t>
      </w:r>
    </w:p>
    <w:p w14:paraId="1000799E" w14:textId="77777777" w:rsidR="00011C58" w:rsidRPr="00B52B89" w:rsidRDefault="00011C58" w:rsidP="008A11D5">
      <w:pPr>
        <w:rPr>
          <w:lang w:val="en-GB"/>
        </w:rPr>
      </w:pPr>
    </w:p>
    <w:p w14:paraId="30AA6016" w14:textId="77777777" w:rsidR="00A81EA2" w:rsidRPr="00B52B89" w:rsidRDefault="00A81EA2" w:rsidP="00A81EA2">
      <w:pPr>
        <w:pStyle w:val="Kop3"/>
        <w:rPr>
          <w:lang w:val="en-GB"/>
        </w:rPr>
      </w:pPr>
      <w:bookmarkStart w:id="39" w:name="_Toc36421359"/>
      <w:bookmarkStart w:id="40" w:name="_Toc58969836"/>
      <w:bookmarkStart w:id="41" w:name="_Toc59118136"/>
      <w:r w:rsidRPr="00B52B89">
        <w:rPr>
          <w:b/>
          <w:lang w:val="en-GB"/>
        </w:rPr>
        <w:t>Justice</w:t>
      </w:r>
      <w:r w:rsidRPr="00B52B89">
        <w:rPr>
          <w:lang w:val="en-GB"/>
        </w:rPr>
        <w:t>, including access to fair trial and effective remedy, and the right to defence.</w:t>
      </w:r>
      <w:bookmarkEnd w:id="39"/>
      <w:bookmarkEnd w:id="40"/>
      <w:bookmarkEnd w:id="41"/>
    </w:p>
    <w:p w14:paraId="75CAADD5" w14:textId="24272255" w:rsidR="00A81EA2" w:rsidRPr="00B52B89" w:rsidRDefault="00A81EA2" w:rsidP="00A81EA2">
      <w:pPr>
        <w:rPr>
          <w:lang w:val="en-GB"/>
        </w:rPr>
      </w:pPr>
      <w:r w:rsidRPr="00B52B89">
        <w:rPr>
          <w:b/>
          <w:bCs/>
          <w:lang w:val="en-GB"/>
        </w:rPr>
        <w:t>No particular risks</w:t>
      </w:r>
      <w:r w:rsidRPr="00B52B89">
        <w:rPr>
          <w:lang w:val="en-GB"/>
        </w:rPr>
        <w:t xml:space="preserve"> are likely to emerge. As noted above, </w:t>
      </w:r>
      <w:r w:rsidR="00EA7D69" w:rsidRPr="00B52B89">
        <w:rPr>
          <w:lang w:val="en-GB"/>
        </w:rPr>
        <w:t>DE4A</w:t>
      </w:r>
      <w:r w:rsidRPr="00B52B89">
        <w:rPr>
          <w:lang w:val="en-GB"/>
        </w:rPr>
        <w:t xml:space="preserve"> aims to strengthen the quality and efficiency of public services, which, if done successfully, should reduce the need for legal redress in administrative proceedings where evidence was mismanaged. As such, </w:t>
      </w:r>
      <w:r w:rsidR="00EA7D69" w:rsidRPr="00B52B89">
        <w:rPr>
          <w:lang w:val="en-GB"/>
        </w:rPr>
        <w:t>DE4A</w:t>
      </w:r>
      <w:r w:rsidRPr="00B52B89">
        <w:rPr>
          <w:lang w:val="en-GB"/>
        </w:rPr>
        <w:t xml:space="preserve"> should have a </w:t>
      </w:r>
      <w:r w:rsidRPr="00B52B89">
        <w:rPr>
          <w:b/>
          <w:bCs/>
          <w:lang w:val="en-GB"/>
        </w:rPr>
        <w:t xml:space="preserve">beneficial impact on justice. </w:t>
      </w:r>
      <w:r w:rsidRPr="00B52B89">
        <w:rPr>
          <w:lang w:val="en-GB"/>
        </w:rPr>
        <w:t xml:space="preserve">As noted above, this requires that the infrastructure operates correctly, and notably that </w:t>
      </w:r>
      <w:r w:rsidRPr="00B52B89">
        <w:rPr>
          <w:b/>
          <w:bCs/>
          <w:lang w:val="en-GB"/>
        </w:rPr>
        <w:t xml:space="preserve">transactions are logged in a way that allows errors to be detected, evaluated and assigned to the responsible entity. </w:t>
      </w:r>
      <w:r w:rsidRPr="00B52B89">
        <w:rPr>
          <w:lang w:val="en-GB"/>
        </w:rPr>
        <w:t xml:space="preserve">This is an important design requirement to ensure that the fundamental value of access to justice is not eroded. </w:t>
      </w:r>
    </w:p>
    <w:p w14:paraId="5341C9A0" w14:textId="7B6D70E9" w:rsidR="00E10606" w:rsidRPr="00B52B89" w:rsidRDefault="00440BE9" w:rsidP="00E10606">
      <w:pPr>
        <w:pStyle w:val="Kop1"/>
        <w:rPr>
          <w:lang w:val="en-GB"/>
        </w:rPr>
      </w:pPr>
      <w:bookmarkStart w:id="42" w:name="_Toc59118137"/>
      <w:r w:rsidRPr="00B52B89">
        <w:rPr>
          <w:lang w:val="en-GB"/>
        </w:rPr>
        <w:lastRenderedPageBreak/>
        <w:t>Object of evaluation -</w:t>
      </w:r>
      <w:r w:rsidR="00E10606" w:rsidRPr="00B52B89">
        <w:rPr>
          <w:lang w:val="en-GB"/>
        </w:rPr>
        <w:t xml:space="preserve"> DE4A</w:t>
      </w:r>
      <w:r w:rsidRPr="00B52B89">
        <w:rPr>
          <w:lang w:val="en-GB"/>
        </w:rPr>
        <w:t>’s approach to the once-only principle and the SDGR</w:t>
      </w:r>
      <w:bookmarkEnd w:id="42"/>
    </w:p>
    <w:p w14:paraId="78F3B8D6" w14:textId="4DB9F9B2" w:rsidR="00FA75A6" w:rsidRPr="00B52B89" w:rsidRDefault="00440BE9" w:rsidP="004049AB">
      <w:pPr>
        <w:rPr>
          <w:lang w:val="en-GB"/>
        </w:rPr>
      </w:pPr>
      <w:r w:rsidRPr="00B52B89">
        <w:rPr>
          <w:lang w:val="en-GB"/>
        </w:rPr>
        <w:t xml:space="preserve">As was already highlighted above, DE4A mainly but not necessarily exclusively follows the logic and scoping of the SDGR. </w:t>
      </w:r>
      <w:r w:rsidR="00FA75A6" w:rsidRPr="00B52B89">
        <w:rPr>
          <w:lang w:val="en-GB"/>
        </w:rPr>
        <w:t xml:space="preserve">To the extent that it interprets the once-only principle in the same manner as the SDGR, all of the ethical evaluations and concerns of section 3 above also apply directly to DE4A in the same manner and to the same extent. </w:t>
      </w:r>
    </w:p>
    <w:p w14:paraId="5006FC16" w14:textId="2D3944E6" w:rsidR="00CC634A" w:rsidRPr="00B52B89" w:rsidRDefault="00FA75A6" w:rsidP="00CC634A">
      <w:pPr>
        <w:rPr>
          <w:lang w:val="en-GB"/>
        </w:rPr>
      </w:pPr>
      <w:r w:rsidRPr="00B52B89">
        <w:rPr>
          <w:lang w:val="en-GB"/>
        </w:rPr>
        <w:t xml:space="preserve">However, based on the currently consulted deliverables, DE4A is also contemplating to conduct certain piloting activities that exceed the exact limitations of the SDGR. </w:t>
      </w:r>
      <w:r w:rsidR="00CC634A" w:rsidRPr="00B52B89">
        <w:rPr>
          <w:lang w:val="en-GB"/>
        </w:rPr>
        <w:t xml:space="preserve">Part of the ambitions of the DE4A project is to pilot use cases where proactive, automated or recurring evidence exchanges can occur, which are not driven by a new request and a new preview for each individual exchange. These exchange patterns are sometimes referred to as push models (due to the fact that relevant changes in the evidence are ‘pushed’ by the evidence provider to a potentially relevant recipient, without a new request (a ‘pull’) from that recipient or from the user), or as ‘subscription’ driven models, in the sense that an interested recipient subscribes to changes in certain information, which it will thereafter receive automatically. </w:t>
      </w:r>
    </w:p>
    <w:p w14:paraId="2AF898BC" w14:textId="257F2750" w:rsidR="00F52448" w:rsidRPr="00B52B89" w:rsidRDefault="00CC634A" w:rsidP="00CC634A">
      <w:pPr>
        <w:rPr>
          <w:lang w:val="en-GB"/>
        </w:rPr>
      </w:pPr>
      <w:r w:rsidRPr="00B52B89">
        <w:rPr>
          <w:lang w:val="en-GB"/>
        </w:rPr>
        <w:t>There is some discussion still as to whether such models could conceptually fit within the scope and approach of the SDGR</w:t>
      </w:r>
      <w:r w:rsidR="00F52448" w:rsidRPr="00B52B89">
        <w:rPr>
          <w:lang w:val="en-GB"/>
        </w:rPr>
        <w:t>, as is explored in D7.1 Overview of legal and ethical requirements</w:t>
      </w:r>
      <w:r w:rsidR="00B64AC0" w:rsidRPr="00B52B89">
        <w:rPr>
          <w:lang w:val="en-GB"/>
        </w:rPr>
        <w:t>. To the extent that such models would actually be piloted (this is still a topic of discussion at the time of reporting), the ethics evaluation would be impacted, notably in relation to:</w:t>
      </w:r>
    </w:p>
    <w:p w14:paraId="1A13EFEC" w14:textId="14554C7B" w:rsidR="00B64AC0" w:rsidRPr="00B52B89" w:rsidRDefault="00B64AC0" w:rsidP="00B64AC0">
      <w:pPr>
        <w:pStyle w:val="Lijstalinea"/>
        <w:numPr>
          <w:ilvl w:val="0"/>
          <w:numId w:val="37"/>
        </w:numPr>
        <w:rPr>
          <w:lang w:val="en-GB"/>
        </w:rPr>
      </w:pPr>
      <w:r w:rsidRPr="00B52B89">
        <w:rPr>
          <w:b/>
          <w:bCs/>
          <w:lang w:val="en-GB"/>
        </w:rPr>
        <w:t>Data protection</w:t>
      </w:r>
      <w:r w:rsidR="00065983" w:rsidRPr="00B52B89">
        <w:rPr>
          <w:b/>
          <w:bCs/>
          <w:lang w:val="en-GB"/>
        </w:rPr>
        <w:t xml:space="preserve">, </w:t>
      </w:r>
      <w:r w:rsidR="00065983" w:rsidRPr="00B52B89">
        <w:rPr>
          <w:lang w:val="en-GB"/>
        </w:rPr>
        <w:t>which could be negatively impacted</w:t>
      </w:r>
      <w:r w:rsidRPr="00B52B89">
        <w:rPr>
          <w:lang w:val="en-GB"/>
        </w:rPr>
        <w:t xml:space="preserve">. The prior request and preview were considered to be fundamental safeguards in relation to data protection, privacy and confidentiality (among other objectives). </w:t>
      </w:r>
      <w:r w:rsidR="00D25FCC" w:rsidRPr="00B52B89">
        <w:rPr>
          <w:lang w:val="en-GB"/>
        </w:rPr>
        <w:t xml:space="preserve">If these would be weakened or removed, data protection risks would inevitably increase. In this case, a DPIA identifying and assessing these risks and potential mitigating measures would be critical. </w:t>
      </w:r>
    </w:p>
    <w:p w14:paraId="6864EAE2" w14:textId="79821CE0" w:rsidR="00D25FCC" w:rsidRPr="00B52B89" w:rsidRDefault="00065983" w:rsidP="00B64AC0">
      <w:pPr>
        <w:pStyle w:val="Lijstalinea"/>
        <w:numPr>
          <w:ilvl w:val="0"/>
          <w:numId w:val="37"/>
        </w:numPr>
        <w:rPr>
          <w:lang w:val="en-GB"/>
        </w:rPr>
      </w:pPr>
      <w:r w:rsidRPr="00B52B89">
        <w:rPr>
          <w:b/>
          <w:bCs/>
          <w:lang w:val="en-GB"/>
        </w:rPr>
        <w:t xml:space="preserve">Equality and good governance, </w:t>
      </w:r>
      <w:r w:rsidRPr="00B52B89">
        <w:rPr>
          <w:lang w:val="en-GB"/>
        </w:rPr>
        <w:t xml:space="preserve">which could be positively impacted. The evaluations above precisely highlighted the ethical risk that the request and preview </w:t>
      </w:r>
      <w:r w:rsidR="009D375F" w:rsidRPr="00B52B89">
        <w:rPr>
          <w:lang w:val="en-GB"/>
        </w:rPr>
        <w:t xml:space="preserve">requirements could result in less able persons losing benefits that they would be entitled to, and that </w:t>
      </w:r>
      <w:r w:rsidR="00146892" w:rsidRPr="00B52B89">
        <w:rPr>
          <w:lang w:val="en-GB"/>
        </w:rPr>
        <w:t xml:space="preserve">the quality of governance could suffer as a result of harmful behaviour not being optimally detected. </w:t>
      </w:r>
      <w:r w:rsidR="00F7637A" w:rsidRPr="00B52B89">
        <w:rPr>
          <w:lang w:val="en-GB"/>
        </w:rPr>
        <w:t xml:space="preserve">Push models and subscription models could ameliorate these concerns. </w:t>
      </w:r>
    </w:p>
    <w:p w14:paraId="71EDF28C" w14:textId="53D1FE95" w:rsidR="00F7637A" w:rsidRPr="00B52B89" w:rsidRDefault="00F7637A" w:rsidP="00F7637A">
      <w:pPr>
        <w:rPr>
          <w:lang w:val="en-GB"/>
        </w:rPr>
      </w:pPr>
      <w:r w:rsidRPr="00B52B89">
        <w:rPr>
          <w:lang w:val="en-GB"/>
        </w:rPr>
        <w:t xml:space="preserve">Furthermore, other ethical concerns could arise </w:t>
      </w:r>
      <w:r w:rsidR="00BF7059" w:rsidRPr="00B52B89">
        <w:rPr>
          <w:lang w:val="en-GB"/>
        </w:rPr>
        <w:t xml:space="preserve">in relation to the use of more innovative </w:t>
      </w:r>
      <w:r w:rsidR="00206B32" w:rsidRPr="00B52B89">
        <w:rPr>
          <w:lang w:val="en-GB"/>
        </w:rPr>
        <w:t xml:space="preserve">technologies with transformative impact, notably blockchain and machine learning. Insofar as these are only used to improve effectiveness, user friendliness and accountability, no new ethical challenges need to arise. However, if such technologies are used to constrain or steer (nudge) user behaviour, further ethical problems occur. At these stage however, there is no indication that such functional choices would be made. This issue will be monitored in future reports, but there is no </w:t>
      </w:r>
      <w:r w:rsidR="00206B32" w:rsidRPr="00B52B89">
        <w:rPr>
          <w:i/>
          <w:iCs/>
          <w:lang w:val="en-GB"/>
        </w:rPr>
        <w:t xml:space="preserve">prima facie </w:t>
      </w:r>
      <w:r w:rsidR="00206B32" w:rsidRPr="00B52B89">
        <w:rPr>
          <w:lang w:val="en-GB"/>
        </w:rPr>
        <w:t xml:space="preserve">concern on these topics. </w:t>
      </w:r>
    </w:p>
    <w:p w14:paraId="1DA06965" w14:textId="6E2CD098" w:rsidR="00EF6F35" w:rsidRPr="00B52B89" w:rsidRDefault="00EF6F35" w:rsidP="00EF6F35">
      <w:pPr>
        <w:rPr>
          <w:lang w:val="en-GB" w:eastAsia="it-IT"/>
        </w:rPr>
      </w:pPr>
      <w:r w:rsidRPr="00B52B89">
        <w:rPr>
          <w:rFonts w:cs="Times New Roman"/>
          <w:lang w:val="en-GB"/>
        </w:rPr>
        <w:t xml:space="preserve">As was already noted above, this </w:t>
      </w:r>
      <w:r w:rsidRPr="00B52B89">
        <w:rPr>
          <w:lang w:val="en-GB" w:eastAsia="it-IT"/>
        </w:rPr>
        <w:t>report will not assess the ethics behind the use cases of DE4A as such (Studying Abroad, Doing Business Abroad, and Moving Abroad)</w:t>
      </w:r>
      <w:r w:rsidR="00D934DC" w:rsidRPr="00B52B89">
        <w:rPr>
          <w:lang w:val="en-GB" w:eastAsia="it-IT"/>
        </w:rPr>
        <w:t>. I</w:t>
      </w:r>
      <w:r w:rsidRPr="00B52B89">
        <w:rPr>
          <w:lang w:val="en-GB" w:eastAsia="it-IT"/>
        </w:rPr>
        <w:t xml:space="preserve">t assumes that existing Member State and EU laws and policies relating to cross border mobility are ethical, or at least that the ethics behind these laws and policies do not require assessment within DE4A. </w:t>
      </w:r>
    </w:p>
    <w:p w14:paraId="2A211C27" w14:textId="2DF80090" w:rsidR="00E10606" w:rsidRPr="00B52B89" w:rsidRDefault="00E10606" w:rsidP="00D12DA3">
      <w:pPr>
        <w:rPr>
          <w:rFonts w:cs="Times New Roman"/>
          <w:lang w:val="en-GB"/>
        </w:rPr>
      </w:pPr>
    </w:p>
    <w:p w14:paraId="3C7E3F90" w14:textId="00BC96AE" w:rsidR="00D12DA3" w:rsidRPr="00B52B89" w:rsidRDefault="00D12DA3" w:rsidP="00D1530B">
      <w:pPr>
        <w:pStyle w:val="Kop1"/>
        <w:rPr>
          <w:lang w:val="en-GB"/>
        </w:rPr>
      </w:pPr>
      <w:bookmarkStart w:id="43" w:name="_Toc59118138"/>
      <w:r w:rsidRPr="00B52B89">
        <w:rPr>
          <w:lang w:val="en-GB"/>
        </w:rPr>
        <w:lastRenderedPageBreak/>
        <w:t>Conclusions</w:t>
      </w:r>
      <w:bookmarkEnd w:id="43"/>
    </w:p>
    <w:p w14:paraId="1DFB4674" w14:textId="3F5A6C2A" w:rsidR="00B52B89" w:rsidRPr="00B52B89" w:rsidRDefault="00B52B89" w:rsidP="00B52B89">
      <w:pPr>
        <w:rPr>
          <w:lang w:val="en-GB"/>
        </w:rPr>
      </w:pPr>
      <w:r w:rsidRPr="00B52B89">
        <w:rPr>
          <w:lang w:val="en-GB"/>
        </w:rPr>
        <w:t xml:space="preserve">Based on the ethics assessment, the current actions and plans of the DE4A project are in line with the EU’s ethical requirements. </w:t>
      </w:r>
    </w:p>
    <w:p w14:paraId="4BCAA2C9" w14:textId="4FE9AB5A" w:rsidR="00B52B89" w:rsidRPr="00B52B89" w:rsidRDefault="00464BB7" w:rsidP="00B52B89">
      <w:pPr>
        <w:rPr>
          <w:lang w:val="en-GB"/>
        </w:rPr>
      </w:pPr>
      <w:r>
        <w:rPr>
          <w:lang w:val="en-GB"/>
        </w:rPr>
        <w:t>Two</w:t>
      </w:r>
      <w:r w:rsidR="00B52B89" w:rsidRPr="00B52B89">
        <w:rPr>
          <w:lang w:val="en-GB"/>
        </w:rPr>
        <w:t xml:space="preserve"> ethical challenges are however identified which should be monitored and evaluated as priorities in the reminder of the project: </w:t>
      </w:r>
    </w:p>
    <w:p w14:paraId="72EAC570" w14:textId="779E12D2" w:rsidR="00B52B89" w:rsidRPr="00B52B89" w:rsidRDefault="00B52B89" w:rsidP="00B52B89">
      <w:pPr>
        <w:pStyle w:val="Lijstalinea"/>
        <w:numPr>
          <w:ilvl w:val="0"/>
          <w:numId w:val="37"/>
        </w:numPr>
        <w:spacing w:after="60"/>
        <w:rPr>
          <w:lang w:val="en-GB"/>
        </w:rPr>
      </w:pPr>
      <w:r w:rsidRPr="00B52B89">
        <w:rPr>
          <w:b/>
          <w:bCs/>
          <w:lang w:val="en-GB"/>
        </w:rPr>
        <w:t>Data protection</w:t>
      </w:r>
      <w:r w:rsidRPr="00B52B89">
        <w:rPr>
          <w:lang w:val="en-GB"/>
        </w:rPr>
        <w:t xml:space="preserve">. While the </w:t>
      </w:r>
      <w:r w:rsidR="00464BB7">
        <w:rPr>
          <w:lang w:val="en-GB"/>
        </w:rPr>
        <w:t>Single Digital Gateway</w:t>
      </w:r>
      <w:r w:rsidRPr="00B52B89">
        <w:rPr>
          <w:lang w:val="en-GB"/>
        </w:rPr>
        <w:t xml:space="preserve"> provides a </w:t>
      </w:r>
      <w:r w:rsidR="00464BB7">
        <w:rPr>
          <w:lang w:val="en-GB"/>
        </w:rPr>
        <w:t>fundamental</w:t>
      </w:r>
      <w:r w:rsidRPr="00B52B89">
        <w:rPr>
          <w:lang w:val="en-GB"/>
        </w:rPr>
        <w:t xml:space="preserve"> data protection constraints, it is not certain at this stage whether all DE4A piloting activities will remain strictly within the confines of that legislation. </w:t>
      </w:r>
      <w:r w:rsidR="00464BB7">
        <w:rPr>
          <w:lang w:val="en-GB"/>
        </w:rPr>
        <w:t xml:space="preserve">In addition, </w:t>
      </w:r>
      <w:r w:rsidR="003F049B">
        <w:rPr>
          <w:lang w:val="en-GB"/>
        </w:rPr>
        <w:t>implementation choices made within DE4A can affect the quality of data protection for citizens, e</w:t>
      </w:r>
      <w:r w:rsidR="007D1B33">
        <w:rPr>
          <w:lang w:val="en-GB"/>
        </w:rPr>
        <w:t>ven when remaining within the confines of the Regulation. A</w:t>
      </w:r>
      <w:r w:rsidRPr="00B52B89">
        <w:rPr>
          <w:lang w:val="en-GB"/>
        </w:rPr>
        <w:t xml:space="preserve"> DPIA would be strongly recommended to mitigate data protection challenges. </w:t>
      </w:r>
    </w:p>
    <w:p w14:paraId="33A53C38" w14:textId="2EAD430D" w:rsidR="00B52B89" w:rsidRPr="00B52B89" w:rsidRDefault="00B52B89" w:rsidP="00B52B89">
      <w:pPr>
        <w:pStyle w:val="Lijstalinea"/>
        <w:numPr>
          <w:ilvl w:val="0"/>
          <w:numId w:val="37"/>
        </w:numPr>
        <w:spacing w:after="60"/>
        <w:rPr>
          <w:lang w:val="en-GB"/>
        </w:rPr>
      </w:pPr>
      <w:r w:rsidRPr="00B52B89">
        <w:rPr>
          <w:b/>
          <w:bCs/>
          <w:lang w:val="en-GB"/>
        </w:rPr>
        <w:t>Equality and citizen’s rights, including the right to good administration</w:t>
      </w:r>
      <w:r w:rsidRPr="00B52B89">
        <w:rPr>
          <w:lang w:val="en-GB"/>
        </w:rPr>
        <w:t xml:space="preserve">. The </w:t>
      </w:r>
      <w:r w:rsidR="007D1B33">
        <w:rPr>
          <w:lang w:val="en-GB"/>
        </w:rPr>
        <w:t xml:space="preserve">Single Digital Gateway Regulation promotes user request and preview as </w:t>
      </w:r>
      <w:r w:rsidR="00105ECE">
        <w:rPr>
          <w:lang w:val="en-GB"/>
        </w:rPr>
        <w:t xml:space="preserve">basic requirements, which protects citizens and businesses against breaches of privacy and confidentiality. As a trade-off however, </w:t>
      </w:r>
      <w:r w:rsidRPr="00B52B89">
        <w:rPr>
          <w:lang w:val="en-GB"/>
        </w:rPr>
        <w:t xml:space="preserve">the benefits of the once-only principle are  only available to digitally literate persons who are capable of requesting it, and individual interest takes precedence over societal interests. </w:t>
      </w:r>
      <w:r w:rsidR="007B05BF">
        <w:rPr>
          <w:lang w:val="en-GB"/>
        </w:rPr>
        <w:t>I</w:t>
      </w:r>
      <w:r w:rsidRPr="00B52B89">
        <w:rPr>
          <w:lang w:val="en-GB"/>
        </w:rPr>
        <w:t>t is recommended to explore what the implications are, and to evaluate whether this policy choice is ethically optimal.</w:t>
      </w:r>
    </w:p>
    <w:p w14:paraId="685882ED" w14:textId="22190B14" w:rsidR="00B52B89" w:rsidRPr="00B52B89" w:rsidRDefault="007B05BF" w:rsidP="00B52B89">
      <w:pPr>
        <w:rPr>
          <w:lang w:val="en-GB"/>
        </w:rPr>
      </w:pPr>
      <w:r>
        <w:rPr>
          <w:lang w:val="en-GB"/>
        </w:rPr>
        <w:t>Further c</w:t>
      </w:r>
      <w:r w:rsidR="00B52B89" w:rsidRPr="00B52B89">
        <w:rPr>
          <w:lang w:val="en-GB"/>
        </w:rPr>
        <w:t xml:space="preserve">ompliance with these requirements will be evaluated in the </w:t>
      </w:r>
      <w:r>
        <w:rPr>
          <w:lang w:val="en-GB"/>
        </w:rPr>
        <w:t>future</w:t>
      </w:r>
      <w:r w:rsidR="00B52B89" w:rsidRPr="00B52B89">
        <w:rPr>
          <w:lang w:val="en-GB"/>
        </w:rPr>
        <w:t xml:space="preserve"> Ethics Report</w:t>
      </w:r>
      <w:r>
        <w:rPr>
          <w:lang w:val="en-GB"/>
        </w:rPr>
        <w:t>s.</w:t>
      </w:r>
      <w:r w:rsidR="00B52B89" w:rsidRPr="00B52B89">
        <w:rPr>
          <w:lang w:val="en-GB"/>
        </w:rPr>
        <w:t xml:space="preserve"> </w:t>
      </w:r>
    </w:p>
    <w:p w14:paraId="1D67BF53" w14:textId="5D62B7F5" w:rsidR="00D12DA3" w:rsidRPr="00B52B89" w:rsidRDefault="00D12DA3" w:rsidP="0054043A">
      <w:pPr>
        <w:pStyle w:val="Titel"/>
        <w:rPr>
          <w:lang w:val="en-GB"/>
        </w:rPr>
      </w:pPr>
      <w:bookmarkStart w:id="44" w:name="_Toc59118139"/>
      <w:r w:rsidRPr="00B52B89">
        <w:rPr>
          <w:lang w:val="en-GB"/>
        </w:rPr>
        <w:lastRenderedPageBreak/>
        <w:t>References</w:t>
      </w:r>
      <w:bookmarkEnd w:id="44"/>
    </w:p>
    <w:p w14:paraId="453ED7FD" w14:textId="66E1539B" w:rsidR="00D12DA3" w:rsidRPr="00B52B89" w:rsidRDefault="00037FC2" w:rsidP="004B4C84">
      <w:pPr>
        <w:pStyle w:val="Crossreference"/>
        <w:rPr>
          <w:lang w:val="en-GB"/>
        </w:rPr>
      </w:pPr>
      <w:bookmarkStart w:id="45" w:name="_Ref59117789"/>
      <w:r w:rsidRPr="00B52B89">
        <w:rPr>
          <w:lang w:val="en-GB"/>
        </w:rPr>
        <w:t>DE4A Description of the Action</w:t>
      </w:r>
      <w:bookmarkEnd w:id="45"/>
    </w:p>
    <w:p w14:paraId="55FF171E" w14:textId="2B0C2F6C" w:rsidR="00226BAF" w:rsidRPr="00B30D7C" w:rsidRDefault="00F86366" w:rsidP="004B4C84">
      <w:pPr>
        <w:pStyle w:val="Crossreference"/>
        <w:rPr>
          <w:rFonts w:cs="Tahoma"/>
          <w:iCs/>
          <w:lang w:val="en-GB"/>
        </w:rPr>
      </w:pPr>
      <w:bookmarkStart w:id="46" w:name="_Ref59117811"/>
      <w:bookmarkStart w:id="47" w:name="_Ref532901517"/>
      <w:r w:rsidRPr="009E68C4">
        <w:rPr>
          <w:lang w:val="en-GB"/>
        </w:rPr>
        <w:t xml:space="preserve">Responsible research &amp; innovation Guidlines. </w:t>
      </w:r>
      <w:hyperlink r:id="rId16" w:history="1">
        <w:r w:rsidR="00226BAF" w:rsidRPr="009E68C4">
          <w:rPr>
            <w:rStyle w:val="Hyperlink"/>
            <w:lang w:val="en-GB"/>
          </w:rPr>
          <w:t>https://ec.europa.eu/programmes/horizon2020/en/h2020-section/responsible-research-innovation</w:t>
        </w:r>
      </w:hyperlink>
      <w:r w:rsidR="00226BAF" w:rsidRPr="00B52B89">
        <w:rPr>
          <w:lang w:val="en-GB"/>
        </w:rPr>
        <w:t>, retrieved on 20</w:t>
      </w:r>
      <w:r w:rsidR="00226BAF">
        <w:rPr>
          <w:lang w:val="en-GB"/>
        </w:rPr>
        <w:t>20</w:t>
      </w:r>
      <w:r w:rsidR="00226BAF" w:rsidRPr="00B52B89">
        <w:rPr>
          <w:lang w:val="en-GB"/>
        </w:rPr>
        <w:t>-</w:t>
      </w:r>
      <w:r w:rsidR="00226BAF">
        <w:rPr>
          <w:lang w:val="en-GB"/>
        </w:rPr>
        <w:t>12</w:t>
      </w:r>
      <w:r w:rsidR="00226BAF" w:rsidRPr="00B52B89">
        <w:rPr>
          <w:lang w:val="en-GB"/>
        </w:rPr>
        <w:t>-</w:t>
      </w:r>
      <w:r w:rsidR="00226BAF">
        <w:rPr>
          <w:lang w:val="en-GB"/>
        </w:rPr>
        <w:t>17</w:t>
      </w:r>
      <w:bookmarkEnd w:id="46"/>
    </w:p>
    <w:p w14:paraId="0D8415C8" w14:textId="3C240E5A" w:rsidR="00B30D7C" w:rsidRPr="00741E05" w:rsidRDefault="00B30D7C" w:rsidP="004B4C84">
      <w:pPr>
        <w:pStyle w:val="Crossreference"/>
        <w:rPr>
          <w:rFonts w:cs="Tahoma"/>
          <w:iCs/>
          <w:lang w:val="en-GB"/>
        </w:rPr>
      </w:pPr>
      <w:bookmarkStart w:id="48" w:name="_Ref59117869"/>
      <w:r w:rsidRPr="009E68C4">
        <w:rPr>
          <w:lang w:val="en-GB"/>
        </w:rPr>
        <w:t>Value Sensitive Design and Information Systems, BATYA FRIEDMAN, PETER H. KAHN, JR., AND ALAN BORNING</w:t>
      </w:r>
      <w:r w:rsidR="00741E05" w:rsidRPr="009E68C4">
        <w:rPr>
          <w:lang w:val="en-GB"/>
        </w:rPr>
        <w:t xml:space="preserve">. </w:t>
      </w:r>
      <w:hyperlink r:id="rId17" w:history="1">
        <w:r w:rsidRPr="009E68C4">
          <w:rPr>
            <w:rStyle w:val="Hyperlink"/>
            <w:lang w:val="en-GB"/>
          </w:rPr>
          <w:t>https://vsdesign.org/publications/pdf/non-scan-vsd-and-information-systems.pdf</w:t>
        </w:r>
      </w:hyperlink>
      <w:r w:rsidR="003666E4" w:rsidRPr="009E68C4">
        <w:rPr>
          <w:rStyle w:val="Hyperlink"/>
          <w:lang w:val="en-GB"/>
        </w:rPr>
        <w:t xml:space="preserve">, </w:t>
      </w:r>
      <w:r w:rsidR="003666E4" w:rsidRPr="00B52B89">
        <w:rPr>
          <w:lang w:val="en-GB"/>
        </w:rPr>
        <w:t>retrieved on 20</w:t>
      </w:r>
      <w:r w:rsidR="003666E4">
        <w:rPr>
          <w:lang w:val="en-GB"/>
        </w:rPr>
        <w:t>20</w:t>
      </w:r>
      <w:r w:rsidR="003666E4" w:rsidRPr="00B52B89">
        <w:rPr>
          <w:lang w:val="en-GB"/>
        </w:rPr>
        <w:t>-</w:t>
      </w:r>
      <w:r w:rsidR="003666E4">
        <w:rPr>
          <w:lang w:val="en-GB"/>
        </w:rPr>
        <w:t>12</w:t>
      </w:r>
      <w:r w:rsidR="003666E4" w:rsidRPr="00B52B89">
        <w:rPr>
          <w:lang w:val="en-GB"/>
        </w:rPr>
        <w:t>-</w:t>
      </w:r>
      <w:r w:rsidR="003666E4">
        <w:rPr>
          <w:lang w:val="en-GB"/>
        </w:rPr>
        <w:t>17</w:t>
      </w:r>
      <w:bookmarkEnd w:id="48"/>
    </w:p>
    <w:p w14:paraId="01A411CF" w14:textId="269601F5" w:rsidR="00741E05" w:rsidRPr="00741E05" w:rsidRDefault="00741E05" w:rsidP="004B4C84">
      <w:pPr>
        <w:pStyle w:val="Crossreference"/>
        <w:rPr>
          <w:rFonts w:cs="Tahoma"/>
          <w:iCs/>
          <w:lang w:val="en-GB"/>
        </w:rPr>
      </w:pPr>
      <w:bookmarkStart w:id="49" w:name="_Ref59117937"/>
      <w:r w:rsidRPr="009E68C4">
        <w:rPr>
          <w:lang w:val="en-GB"/>
        </w:rPr>
        <w:t xml:space="preserve">The single digital gateway. </w:t>
      </w:r>
      <w:hyperlink r:id="rId18" w:history="1">
        <w:r w:rsidRPr="009E68C4">
          <w:rPr>
            <w:rStyle w:val="Hyperlink"/>
            <w:lang w:val="en-GB"/>
          </w:rPr>
          <w:t>https://ec.europa.eu/growth/single-market/single-digital-gateway_en</w:t>
        </w:r>
      </w:hyperlink>
      <w:r w:rsidRPr="009E68C4">
        <w:rPr>
          <w:rStyle w:val="Hyperlink"/>
          <w:lang w:val="en-GB"/>
        </w:rPr>
        <w:t xml:space="preserve">, </w:t>
      </w:r>
      <w:r w:rsidRPr="00B52B89">
        <w:rPr>
          <w:lang w:val="en-GB"/>
        </w:rPr>
        <w:t>retrieved on 20</w:t>
      </w:r>
      <w:r>
        <w:rPr>
          <w:lang w:val="en-GB"/>
        </w:rPr>
        <w:t>20</w:t>
      </w:r>
      <w:r w:rsidRPr="00B52B89">
        <w:rPr>
          <w:lang w:val="en-GB"/>
        </w:rPr>
        <w:t>-</w:t>
      </w:r>
      <w:r>
        <w:rPr>
          <w:lang w:val="en-GB"/>
        </w:rPr>
        <w:t>12</w:t>
      </w:r>
      <w:r w:rsidRPr="00B52B89">
        <w:rPr>
          <w:lang w:val="en-GB"/>
        </w:rPr>
        <w:t>-</w:t>
      </w:r>
      <w:r>
        <w:rPr>
          <w:lang w:val="en-GB"/>
        </w:rPr>
        <w:t>17</w:t>
      </w:r>
      <w:bookmarkEnd w:id="49"/>
    </w:p>
    <w:p w14:paraId="63D5EBBE" w14:textId="3DE80881" w:rsidR="00741E05" w:rsidRPr="009E68C4" w:rsidRDefault="00C87A05" w:rsidP="004B4C84">
      <w:pPr>
        <w:pStyle w:val="Crossreference"/>
        <w:rPr>
          <w:rFonts w:cs="Tahoma"/>
          <w:iCs/>
          <w:lang w:val="en-GB"/>
        </w:rPr>
      </w:pPr>
      <w:bookmarkStart w:id="50" w:name="_Ref59118020"/>
      <w:r w:rsidRPr="00C87A05">
        <w:rPr>
          <w:lang w:val="en-GB"/>
        </w:rPr>
        <w:t>EDPS Opinion 8/2017 on the proposal for a Regulation establishing a single digital gateway and the ‘once-only’ principle, 1 August 2017</w:t>
      </w:r>
      <w:r w:rsidRPr="009E68C4">
        <w:rPr>
          <w:lang w:val="en-GB"/>
        </w:rPr>
        <w:t xml:space="preserve">. </w:t>
      </w:r>
      <w:hyperlink r:id="rId19" w:history="1">
        <w:r w:rsidR="00741E05" w:rsidRPr="009E68C4">
          <w:rPr>
            <w:rStyle w:val="Hyperlink"/>
            <w:lang w:val="en-GB"/>
          </w:rPr>
          <w:t>https://edps.europa.eu/sites/edp/files/publication/17-08-01_sdg_opinion_en.pdf</w:t>
        </w:r>
      </w:hyperlink>
      <w:r w:rsidRPr="009E68C4">
        <w:rPr>
          <w:rStyle w:val="Hyperlink"/>
          <w:lang w:val="en-GB"/>
        </w:rPr>
        <w:t xml:space="preserve">, </w:t>
      </w:r>
      <w:r w:rsidRPr="00B52B89">
        <w:rPr>
          <w:lang w:val="en-GB"/>
        </w:rPr>
        <w:t>retrieved on 20</w:t>
      </w:r>
      <w:r>
        <w:rPr>
          <w:lang w:val="en-GB"/>
        </w:rPr>
        <w:t>20</w:t>
      </w:r>
      <w:r w:rsidRPr="00B52B89">
        <w:rPr>
          <w:lang w:val="en-GB"/>
        </w:rPr>
        <w:t>-</w:t>
      </w:r>
      <w:r>
        <w:rPr>
          <w:lang w:val="en-GB"/>
        </w:rPr>
        <w:t>12</w:t>
      </w:r>
      <w:r w:rsidRPr="00B52B89">
        <w:rPr>
          <w:lang w:val="en-GB"/>
        </w:rPr>
        <w:t>-</w:t>
      </w:r>
      <w:r>
        <w:rPr>
          <w:lang w:val="en-GB"/>
        </w:rPr>
        <w:t>17</w:t>
      </w:r>
      <w:bookmarkEnd w:id="50"/>
      <w:r>
        <w:rPr>
          <w:lang w:val="en-GB"/>
        </w:rPr>
        <w:t xml:space="preserve"> </w:t>
      </w:r>
    </w:p>
    <w:p w14:paraId="099B1535" w14:textId="5C957984" w:rsidR="00C87A05" w:rsidRPr="009E68C4" w:rsidRDefault="00C87A05" w:rsidP="004B4C84">
      <w:pPr>
        <w:pStyle w:val="Crossreference"/>
        <w:rPr>
          <w:rStyle w:val="Hyperlink"/>
          <w:rFonts w:cs="Tahoma"/>
          <w:iCs/>
          <w:color w:val="auto"/>
          <w:u w:val="none"/>
          <w:lang w:val="en-GB"/>
        </w:rPr>
      </w:pPr>
      <w:bookmarkStart w:id="51" w:name="_Ref59118078"/>
      <w:r w:rsidRPr="00B055CC">
        <w:rPr>
          <w:lang w:val="en-GB"/>
        </w:rPr>
        <w:t>Berlin Declaration</w:t>
      </w:r>
      <w:r>
        <w:rPr>
          <w:lang w:val="en-GB"/>
        </w:rPr>
        <w:t xml:space="preserve"> </w:t>
      </w:r>
      <w:r w:rsidRPr="00B055CC">
        <w:rPr>
          <w:lang w:val="en-GB"/>
        </w:rPr>
        <w:t>on</w:t>
      </w:r>
      <w:r>
        <w:rPr>
          <w:lang w:val="en-GB"/>
        </w:rPr>
        <w:t xml:space="preserve"> </w:t>
      </w:r>
      <w:r w:rsidRPr="00B055CC">
        <w:rPr>
          <w:lang w:val="en-GB"/>
        </w:rPr>
        <w:t>Digital Society and</w:t>
      </w:r>
      <w:r>
        <w:rPr>
          <w:lang w:val="en-GB"/>
        </w:rPr>
        <w:t xml:space="preserve"> </w:t>
      </w:r>
      <w:r w:rsidRPr="00B055CC">
        <w:rPr>
          <w:lang w:val="en-GB"/>
        </w:rPr>
        <w:t>Value-Based Digital Government</w:t>
      </w:r>
      <w:r>
        <w:rPr>
          <w:lang w:val="en-GB"/>
        </w:rPr>
        <w:t xml:space="preserve"> of </w:t>
      </w:r>
      <w:r w:rsidRPr="00B055CC">
        <w:rPr>
          <w:lang w:val="en-GB"/>
        </w:rPr>
        <w:t>8 December 2020</w:t>
      </w:r>
      <w:r>
        <w:rPr>
          <w:lang w:val="en-GB"/>
        </w:rPr>
        <w:t xml:space="preserve">. </w:t>
      </w:r>
      <w:hyperlink r:id="rId20" w:history="1">
        <w:r w:rsidR="00011C58" w:rsidRPr="00B47A0E">
          <w:rPr>
            <w:rStyle w:val="Hyperlink"/>
            <w:lang w:val="en-GB"/>
          </w:rPr>
          <w:t>https://www.bmi.bund.de/SharedDocs/downloads/EN/eu-presidency/berlin-declaration-digital-society.pdf;jsessionid=16E411E2A284D84BDE5A1956E1439F1D.2_cid364?__blob=publicationFile&amp;v=2</w:t>
        </w:r>
      </w:hyperlink>
      <w:r w:rsidR="00011C58">
        <w:rPr>
          <w:lang w:val="en-GB"/>
        </w:rPr>
        <w:t>, retrieved on 2020-12-17</w:t>
      </w:r>
      <w:bookmarkEnd w:id="51"/>
    </w:p>
    <w:bookmarkEnd w:id="47"/>
    <w:sectPr w:rsidR="00C87A05" w:rsidRPr="009E68C4" w:rsidSect="00BC16E1">
      <w:headerReference w:type="default" r:id="rId21"/>
      <w:footerReference w:type="default" r:id="rId22"/>
      <w:headerReference w:type="first" r:id="rId23"/>
      <w:footerReference w:type="first" r:id="rId24"/>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4606" w14:textId="77777777" w:rsidR="00937D35" w:rsidRDefault="00937D35" w:rsidP="00E10346">
      <w:r>
        <w:separator/>
      </w:r>
    </w:p>
  </w:endnote>
  <w:endnote w:type="continuationSeparator" w:id="0">
    <w:p w14:paraId="49953A0A" w14:textId="77777777" w:rsidR="00937D35" w:rsidRDefault="00937D35" w:rsidP="00E1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A84" w14:textId="77777777" w:rsidR="001C3118" w:rsidRDefault="001C3118" w:rsidP="00F7428B">
    <w:pPr>
      <w:pStyle w:val="Voettekst"/>
    </w:pPr>
  </w:p>
  <w:tbl>
    <w:tblPr>
      <w:tblStyle w:val="Tabelraster8"/>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 w:type="dxa"/>
        <w:right w:w="28" w:type="dxa"/>
      </w:tblCellMar>
      <w:tblLook w:val="0600" w:firstRow="0" w:lastRow="0" w:firstColumn="0" w:lastColumn="0" w:noHBand="1" w:noVBand="1"/>
    </w:tblPr>
    <w:tblGrid>
      <w:gridCol w:w="1902"/>
      <w:gridCol w:w="554"/>
      <w:gridCol w:w="1383"/>
      <w:gridCol w:w="1382"/>
      <w:gridCol w:w="831"/>
      <w:gridCol w:w="554"/>
      <w:gridCol w:w="830"/>
      <w:gridCol w:w="1624"/>
    </w:tblGrid>
    <w:tr w:rsidR="001C3118" w14:paraId="4EE8753E" w14:textId="77777777" w:rsidTr="0040592B">
      <w:trPr>
        <w:cantSplit/>
        <w:trHeight w:val="82"/>
        <w:jc w:val="center"/>
      </w:trPr>
      <w:tc>
        <w:tcPr>
          <w:tcW w:w="1951" w:type="dxa"/>
          <w:vAlign w:val="center"/>
        </w:tcPr>
        <w:p w14:paraId="19A880FB" w14:textId="77777777" w:rsidR="001C3118" w:rsidRPr="006E072A" w:rsidRDefault="001C3118"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Document name:</w:t>
          </w:r>
        </w:p>
      </w:tc>
      <w:tc>
        <w:tcPr>
          <w:tcW w:w="4820" w:type="dxa"/>
          <w:gridSpan w:val="5"/>
          <w:vAlign w:val="center"/>
        </w:tcPr>
        <w:p w14:paraId="7068EDA7" w14:textId="2D2CB0BB" w:rsidR="001C3118" w:rsidRPr="007B213A" w:rsidRDefault="00827F73" w:rsidP="00F7428B">
          <w:pPr>
            <w:tabs>
              <w:tab w:val="left" w:pos="2280"/>
            </w:tabs>
            <w:spacing w:after="0"/>
            <w:jc w:val="left"/>
            <w:rPr>
              <w:rFonts w:ascii="Century Gothic" w:hAnsi="Century Gothic"/>
              <w:sz w:val="16"/>
              <w:szCs w:val="16"/>
              <w:lang w:val="en-US"/>
            </w:rPr>
          </w:pPr>
          <w:r>
            <w:rPr>
              <w:rFonts w:ascii="Century Gothic" w:hAnsi="Century Gothic" w:cs="Arial"/>
              <w:sz w:val="16"/>
              <w:szCs w:val="16"/>
            </w:rPr>
            <w:t>D10.</w:t>
          </w:r>
          <w:r w:rsidR="00634BFC">
            <w:rPr>
              <w:rFonts w:ascii="Century Gothic" w:hAnsi="Century Gothic" w:cs="Arial"/>
              <w:sz w:val="16"/>
              <w:szCs w:val="16"/>
            </w:rPr>
            <w:t xml:space="preserve">5 </w:t>
          </w:r>
          <w:r w:rsidR="00634BFC" w:rsidRPr="00634BFC">
            <w:rPr>
              <w:rFonts w:ascii="Century Gothic" w:hAnsi="Century Gothic" w:cs="Arial"/>
              <w:sz w:val="16"/>
              <w:szCs w:val="16"/>
            </w:rPr>
            <w:t xml:space="preserve">GEN </w:t>
          </w:r>
          <w:proofErr w:type="spellStart"/>
          <w:r w:rsidR="00634BFC" w:rsidRPr="00634BFC">
            <w:rPr>
              <w:rFonts w:ascii="Century Gothic" w:hAnsi="Century Gothic" w:cs="Arial"/>
              <w:sz w:val="16"/>
              <w:szCs w:val="16"/>
            </w:rPr>
            <w:t>Requirement</w:t>
          </w:r>
          <w:proofErr w:type="spellEnd"/>
          <w:r w:rsidR="00634BFC" w:rsidRPr="00634BFC">
            <w:rPr>
              <w:rFonts w:ascii="Century Gothic" w:hAnsi="Century Gothic" w:cs="Arial"/>
              <w:sz w:val="16"/>
              <w:szCs w:val="16"/>
            </w:rPr>
            <w:t xml:space="preserve"> n°5 – </w:t>
          </w:r>
          <w:proofErr w:type="spellStart"/>
          <w:r w:rsidR="00634BFC" w:rsidRPr="00634BFC">
            <w:rPr>
              <w:rFonts w:ascii="Century Gothic" w:hAnsi="Century Gothic" w:cs="Arial"/>
              <w:sz w:val="16"/>
              <w:szCs w:val="16"/>
            </w:rPr>
            <w:t>Periodic</w:t>
          </w:r>
          <w:proofErr w:type="spellEnd"/>
          <w:r w:rsidR="00634BFC" w:rsidRPr="00634BFC">
            <w:rPr>
              <w:rFonts w:ascii="Century Gothic" w:hAnsi="Century Gothic" w:cs="Arial"/>
              <w:sz w:val="16"/>
              <w:szCs w:val="16"/>
            </w:rPr>
            <w:t xml:space="preserve"> </w:t>
          </w:r>
          <w:proofErr w:type="spellStart"/>
          <w:r w:rsidR="00634BFC" w:rsidRPr="00634BFC">
            <w:rPr>
              <w:rFonts w:ascii="Century Gothic" w:hAnsi="Century Gothic" w:cs="Arial"/>
              <w:sz w:val="16"/>
              <w:szCs w:val="16"/>
            </w:rPr>
            <w:t>report</w:t>
          </w:r>
          <w:proofErr w:type="spellEnd"/>
          <w:r w:rsidR="00634BFC" w:rsidRPr="00634BFC">
            <w:rPr>
              <w:rFonts w:ascii="Century Gothic" w:hAnsi="Century Gothic" w:cs="Arial"/>
              <w:sz w:val="16"/>
              <w:szCs w:val="16"/>
            </w:rPr>
            <w:t xml:space="preserve"> </w:t>
          </w:r>
          <w:proofErr w:type="spellStart"/>
          <w:r w:rsidR="00634BFC" w:rsidRPr="00634BFC">
            <w:rPr>
              <w:rFonts w:ascii="Century Gothic" w:hAnsi="Century Gothic" w:cs="Arial"/>
              <w:sz w:val="16"/>
              <w:szCs w:val="16"/>
            </w:rPr>
            <w:t>by</w:t>
          </w:r>
          <w:proofErr w:type="spellEnd"/>
          <w:r w:rsidR="00634BFC" w:rsidRPr="00634BFC">
            <w:rPr>
              <w:rFonts w:ascii="Century Gothic" w:hAnsi="Century Gothic" w:cs="Arial"/>
              <w:sz w:val="16"/>
              <w:szCs w:val="16"/>
            </w:rPr>
            <w:t xml:space="preserve"> </w:t>
          </w:r>
          <w:proofErr w:type="spellStart"/>
          <w:r w:rsidR="00634BFC" w:rsidRPr="00634BFC">
            <w:rPr>
              <w:rFonts w:ascii="Century Gothic" w:hAnsi="Century Gothic" w:cs="Arial"/>
              <w:sz w:val="16"/>
              <w:szCs w:val="16"/>
            </w:rPr>
            <w:t>the</w:t>
          </w:r>
          <w:proofErr w:type="spellEnd"/>
          <w:r w:rsidR="00634BFC" w:rsidRPr="00634BFC">
            <w:rPr>
              <w:rFonts w:ascii="Century Gothic" w:hAnsi="Century Gothic" w:cs="Arial"/>
              <w:sz w:val="16"/>
              <w:szCs w:val="16"/>
            </w:rPr>
            <w:t xml:space="preserve"> </w:t>
          </w:r>
          <w:proofErr w:type="spellStart"/>
          <w:r w:rsidR="00634BFC" w:rsidRPr="00634BFC">
            <w:rPr>
              <w:rFonts w:ascii="Century Gothic" w:hAnsi="Century Gothic" w:cs="Arial"/>
              <w:sz w:val="16"/>
              <w:szCs w:val="16"/>
            </w:rPr>
            <w:t>Ethics</w:t>
          </w:r>
          <w:proofErr w:type="spellEnd"/>
          <w:r w:rsidR="00634BFC" w:rsidRPr="00634BFC">
            <w:rPr>
              <w:rFonts w:ascii="Century Gothic" w:hAnsi="Century Gothic" w:cs="Arial"/>
              <w:sz w:val="16"/>
              <w:szCs w:val="16"/>
            </w:rPr>
            <w:t xml:space="preserve"> </w:t>
          </w:r>
          <w:proofErr w:type="spellStart"/>
          <w:r w:rsidR="00634BFC" w:rsidRPr="00634BFC">
            <w:rPr>
              <w:rFonts w:ascii="Century Gothic" w:hAnsi="Century Gothic" w:cs="Arial"/>
              <w:sz w:val="16"/>
              <w:szCs w:val="16"/>
            </w:rPr>
            <w:t>Advisor</w:t>
          </w:r>
          <w:proofErr w:type="spellEnd"/>
        </w:p>
      </w:tc>
      <w:tc>
        <w:tcPr>
          <w:tcW w:w="850" w:type="dxa"/>
          <w:vAlign w:val="center"/>
        </w:tcPr>
        <w:p w14:paraId="04722305" w14:textId="77777777" w:rsidR="001C3118" w:rsidRPr="006E072A" w:rsidRDefault="001C3118" w:rsidP="00F7428B">
          <w:pPr>
            <w:pStyle w:val="StandardmitAbstandnach"/>
            <w:spacing w:after="0"/>
            <w:ind w:left="42"/>
            <w:jc w:val="left"/>
            <w:rPr>
              <w:rFonts w:ascii="Century Gothic" w:hAnsi="Century Gothic"/>
              <w:color w:val="0070C0"/>
              <w:sz w:val="16"/>
              <w:szCs w:val="16"/>
              <w:lang w:val="en-GB"/>
            </w:rPr>
          </w:pPr>
          <w:r w:rsidRPr="006E072A">
            <w:rPr>
              <w:rFonts w:ascii="Century Gothic" w:hAnsi="Century Gothic"/>
              <w:b/>
              <w:color w:val="0070C0"/>
              <w:sz w:val="16"/>
              <w:szCs w:val="16"/>
            </w:rPr>
            <w:t>Page:</w:t>
          </w:r>
        </w:p>
      </w:tc>
      <w:tc>
        <w:tcPr>
          <w:tcW w:w="1665" w:type="dxa"/>
          <w:vAlign w:val="center"/>
        </w:tcPr>
        <w:p w14:paraId="29B63A54" w14:textId="77777777" w:rsidR="001C3118" w:rsidRPr="003851DE" w:rsidRDefault="001C3118" w:rsidP="00F7428B">
          <w:pPr>
            <w:pStyle w:val="StandardmitAbstandnach"/>
            <w:tabs>
              <w:tab w:val="center" w:pos="393"/>
            </w:tabs>
            <w:spacing w:after="0"/>
            <w:jc w:val="left"/>
            <w:rPr>
              <w:rFonts w:ascii="Century Gothic" w:hAnsi="Century Gothic"/>
              <w:sz w:val="16"/>
              <w:szCs w:val="16"/>
              <w:lang w:val="en-GB"/>
            </w:rPr>
          </w:pPr>
          <w:r w:rsidRPr="003851DE">
            <w:rPr>
              <w:rStyle w:val="Paginanummer"/>
              <w:rFonts w:ascii="Century Gothic" w:hAnsi="Century Gothic"/>
              <w:sz w:val="16"/>
              <w:szCs w:val="16"/>
            </w:rPr>
            <w:t xml:space="preserve">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PAGE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2</w:t>
          </w:r>
          <w:r w:rsidRPr="003851DE">
            <w:rPr>
              <w:rStyle w:val="Paginanummer"/>
              <w:rFonts w:ascii="Century Gothic" w:hAnsi="Century Gothic"/>
              <w:sz w:val="16"/>
              <w:szCs w:val="16"/>
            </w:rPr>
            <w:fldChar w:fldCharType="end"/>
          </w:r>
          <w:r w:rsidRPr="003851DE">
            <w:rPr>
              <w:rFonts w:ascii="Century Gothic" w:hAnsi="Century Gothic"/>
              <w:color w:val="5A5A5A"/>
              <w:sz w:val="16"/>
              <w:szCs w:val="16"/>
              <w:lang w:val="en-GB" w:eastAsia="fr-FR"/>
            </w:rPr>
            <w:t xml:space="preserve"> of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NUMPAGES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16</w:t>
          </w:r>
          <w:r w:rsidRPr="003851DE">
            <w:rPr>
              <w:rStyle w:val="Paginanummer"/>
              <w:rFonts w:ascii="Century Gothic" w:hAnsi="Century Gothic"/>
              <w:sz w:val="16"/>
              <w:szCs w:val="16"/>
            </w:rPr>
            <w:fldChar w:fldCharType="end"/>
          </w:r>
        </w:p>
      </w:tc>
    </w:tr>
    <w:tr w:rsidR="001C3118" w14:paraId="60F43BE9" w14:textId="77777777" w:rsidTr="0040592B">
      <w:trPr>
        <w:cantSplit/>
        <w:trHeight w:val="21"/>
        <w:jc w:val="center"/>
      </w:trPr>
      <w:tc>
        <w:tcPr>
          <w:tcW w:w="1951" w:type="dxa"/>
          <w:vAlign w:val="center"/>
        </w:tcPr>
        <w:p w14:paraId="46E6A55D" w14:textId="77777777" w:rsidR="001C3118" w:rsidRPr="006E072A" w:rsidRDefault="001C3118"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Reference:</w:t>
          </w:r>
        </w:p>
      </w:tc>
      <w:tc>
        <w:tcPr>
          <w:tcW w:w="567" w:type="dxa"/>
          <w:vAlign w:val="center"/>
        </w:tcPr>
        <w:p w14:paraId="1962B276" w14:textId="0A602E69" w:rsidR="001C3118" w:rsidRPr="003851DE" w:rsidRDefault="00AF593E" w:rsidP="00F7428B">
          <w:pPr>
            <w:spacing w:after="0"/>
            <w:jc w:val="left"/>
            <w:rPr>
              <w:rFonts w:ascii="Century Gothic" w:hAnsi="Century Gothic"/>
              <w:bCs/>
              <w:sz w:val="16"/>
              <w:szCs w:val="16"/>
            </w:rPr>
          </w:pPr>
          <w:r>
            <w:rPr>
              <w:rFonts w:ascii="Century Gothic" w:hAnsi="Century Gothic"/>
              <w:bCs/>
              <w:sz w:val="16"/>
              <w:szCs w:val="16"/>
            </w:rPr>
            <w:t>D10.</w:t>
          </w:r>
          <w:r w:rsidR="00634BFC">
            <w:rPr>
              <w:rFonts w:ascii="Century Gothic" w:hAnsi="Century Gothic"/>
              <w:bCs/>
              <w:sz w:val="16"/>
              <w:szCs w:val="16"/>
            </w:rPr>
            <w:t>5</w:t>
          </w:r>
        </w:p>
      </w:tc>
      <w:tc>
        <w:tcPr>
          <w:tcW w:w="1418" w:type="dxa"/>
          <w:vAlign w:val="center"/>
        </w:tcPr>
        <w:p w14:paraId="7A650BE4" w14:textId="77777777" w:rsidR="001C3118" w:rsidRPr="003851DE" w:rsidRDefault="001C3118" w:rsidP="00F7428B">
          <w:pPr>
            <w:spacing w:after="0"/>
            <w:ind w:left="4"/>
            <w:jc w:val="left"/>
            <w:rPr>
              <w:rFonts w:ascii="Century Gothic" w:hAnsi="Century Gothic"/>
              <w:b/>
              <w:bCs/>
              <w:sz w:val="16"/>
              <w:szCs w:val="16"/>
            </w:rPr>
          </w:pPr>
          <w:r w:rsidRPr="006E072A">
            <w:rPr>
              <w:rFonts w:ascii="Century Gothic" w:hAnsi="Century Gothic"/>
              <w:b/>
              <w:bCs/>
              <w:color w:val="0070C0"/>
              <w:sz w:val="16"/>
              <w:szCs w:val="16"/>
            </w:rPr>
            <w:t xml:space="preserve">Dissemination: </w:t>
          </w:r>
        </w:p>
      </w:tc>
      <w:tc>
        <w:tcPr>
          <w:tcW w:w="1417" w:type="dxa"/>
          <w:vAlign w:val="center"/>
        </w:tcPr>
        <w:p w14:paraId="11861E6B" w14:textId="5E4A53FB" w:rsidR="001C3118" w:rsidRPr="003851DE" w:rsidRDefault="00906035" w:rsidP="00F7428B">
          <w:pPr>
            <w:spacing w:after="0"/>
            <w:jc w:val="left"/>
            <w:rPr>
              <w:rFonts w:ascii="Century Gothic" w:hAnsi="Century Gothic"/>
              <w:bCs/>
              <w:sz w:val="16"/>
              <w:szCs w:val="16"/>
            </w:rPr>
          </w:pPr>
          <w:r>
            <w:rPr>
              <w:rFonts w:ascii="Century Gothic" w:hAnsi="Century Gothic"/>
              <w:bCs/>
              <w:sz w:val="16"/>
              <w:szCs w:val="16"/>
            </w:rPr>
            <w:t>CO</w:t>
          </w:r>
        </w:p>
      </w:tc>
      <w:tc>
        <w:tcPr>
          <w:tcW w:w="851" w:type="dxa"/>
          <w:vAlign w:val="center"/>
        </w:tcPr>
        <w:p w14:paraId="6149BA9F" w14:textId="77777777" w:rsidR="001C3118" w:rsidRPr="003851DE" w:rsidRDefault="001C3118" w:rsidP="00F7428B">
          <w:pPr>
            <w:spacing w:after="0"/>
            <w:jc w:val="left"/>
            <w:rPr>
              <w:rFonts w:ascii="Century Gothic" w:hAnsi="Century Gothic"/>
              <w:bCs/>
              <w:sz w:val="16"/>
              <w:szCs w:val="16"/>
            </w:rPr>
          </w:pPr>
          <w:r w:rsidRPr="00470548">
            <w:rPr>
              <w:rFonts w:ascii="Century Gothic" w:hAnsi="Century Gothic"/>
              <w:b/>
              <w:bCs/>
              <w:color w:val="0070C0"/>
              <w:sz w:val="16"/>
              <w:szCs w:val="16"/>
            </w:rPr>
            <w:t>Version:</w:t>
          </w:r>
        </w:p>
      </w:tc>
      <w:tc>
        <w:tcPr>
          <w:tcW w:w="567" w:type="dxa"/>
          <w:vAlign w:val="center"/>
        </w:tcPr>
        <w:p w14:paraId="6489581A" w14:textId="75A7B01E" w:rsidR="001C3118" w:rsidRPr="003851DE" w:rsidRDefault="00763A03" w:rsidP="00F7428B">
          <w:pPr>
            <w:spacing w:after="0"/>
            <w:rPr>
              <w:rFonts w:ascii="Century Gothic" w:hAnsi="Century Gothic"/>
            </w:rPr>
          </w:pPr>
          <w:r>
            <w:rPr>
              <w:rFonts w:ascii="Century Gothic" w:hAnsi="Century Gothic"/>
              <w:sz w:val="16"/>
              <w:szCs w:val="16"/>
            </w:rPr>
            <w:t>0</w:t>
          </w:r>
          <w:r w:rsidR="00D604EF">
            <w:rPr>
              <w:rFonts w:ascii="Century Gothic" w:hAnsi="Century Gothic"/>
              <w:sz w:val="16"/>
              <w:szCs w:val="16"/>
            </w:rPr>
            <w:t>.</w:t>
          </w:r>
          <w:r>
            <w:rPr>
              <w:rFonts w:ascii="Century Gothic" w:hAnsi="Century Gothic"/>
              <w:sz w:val="16"/>
              <w:szCs w:val="16"/>
            </w:rPr>
            <w:t>8</w:t>
          </w:r>
        </w:p>
      </w:tc>
      <w:tc>
        <w:tcPr>
          <w:tcW w:w="850" w:type="dxa"/>
          <w:vAlign w:val="center"/>
        </w:tcPr>
        <w:p w14:paraId="0405BE55" w14:textId="77777777" w:rsidR="001C3118" w:rsidRPr="006E072A" w:rsidRDefault="001C3118" w:rsidP="00F7428B">
          <w:pPr>
            <w:spacing w:after="0"/>
            <w:ind w:left="23"/>
            <w:jc w:val="left"/>
            <w:rPr>
              <w:rFonts w:ascii="Century Gothic" w:hAnsi="Century Gothic"/>
              <w:bCs/>
              <w:color w:val="0070C0"/>
              <w:sz w:val="16"/>
              <w:szCs w:val="16"/>
            </w:rPr>
          </w:pPr>
          <w:r w:rsidRPr="006E072A">
            <w:rPr>
              <w:rFonts w:ascii="Century Gothic" w:hAnsi="Century Gothic"/>
              <w:b/>
              <w:bCs/>
              <w:color w:val="0070C0"/>
              <w:sz w:val="16"/>
              <w:szCs w:val="16"/>
            </w:rPr>
            <w:t>Status</w:t>
          </w:r>
          <w:r w:rsidRPr="006E072A">
            <w:rPr>
              <w:rFonts w:ascii="Century Gothic" w:hAnsi="Century Gothic"/>
              <w:bCs/>
              <w:color w:val="0070C0"/>
              <w:sz w:val="16"/>
              <w:szCs w:val="16"/>
            </w:rPr>
            <w:t>:</w:t>
          </w:r>
        </w:p>
      </w:tc>
      <w:tc>
        <w:tcPr>
          <w:tcW w:w="1665" w:type="dxa"/>
          <w:vAlign w:val="center"/>
        </w:tcPr>
        <w:p w14:paraId="6B637108" w14:textId="0A572631" w:rsidR="001C3118" w:rsidRPr="007A2BA7" w:rsidRDefault="00347390" w:rsidP="00F7428B">
          <w:pPr>
            <w:spacing w:after="0"/>
            <w:jc w:val="left"/>
            <w:rPr>
              <w:rFonts w:ascii="Century Gothic" w:eastAsiaTheme="minorHAnsi" w:hAnsi="Century Gothic" w:cstheme="minorBidi"/>
              <w:sz w:val="16"/>
              <w:szCs w:val="16"/>
              <w:lang w:eastAsia="en-US"/>
            </w:rPr>
          </w:pPr>
          <w:proofErr w:type="spellStart"/>
          <w:r>
            <w:rPr>
              <w:rFonts w:ascii="Century Gothic" w:hAnsi="Century Gothic"/>
              <w:sz w:val="16"/>
              <w:szCs w:val="16"/>
            </w:rPr>
            <w:t>Draft</w:t>
          </w:r>
          <w:proofErr w:type="spellEnd"/>
          <w:r>
            <w:rPr>
              <w:rFonts w:ascii="Century Gothic" w:hAnsi="Century Gothic"/>
              <w:sz w:val="16"/>
              <w:szCs w:val="16"/>
            </w:rPr>
            <w:t xml:space="preserve"> /Final</w:t>
          </w:r>
        </w:p>
      </w:tc>
    </w:tr>
  </w:tbl>
  <w:p w14:paraId="1CBEE682" w14:textId="0A6F44DB" w:rsidR="001C3118" w:rsidRPr="00F7428B" w:rsidRDefault="001C3118" w:rsidP="004059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6C0" w14:textId="77777777" w:rsidR="00A3773E" w:rsidRPr="001609ED" w:rsidRDefault="00A3773E" w:rsidP="00A3773E">
    <w:pPr>
      <w:pStyle w:val="Normaalweb"/>
      <w:spacing w:before="0" w:beforeAutospacing="0" w:after="0" w:afterAutospacing="0"/>
      <w:rPr>
        <w:sz w:val="16"/>
        <w:szCs w:val="16"/>
        <w:lang w:val="en-US"/>
      </w:rPr>
    </w:pPr>
    <w:r w:rsidRPr="001609ED">
      <w:rPr>
        <w:b/>
        <w:bCs/>
        <w:sz w:val="16"/>
        <w:szCs w:val="16"/>
        <w:lang w:val="en-US"/>
      </w:rPr>
      <w:t>Disclaimer for Deliverables with dissemination level NOT PUBLIC</w:t>
    </w:r>
  </w:p>
  <w:p w14:paraId="0A83F93E" w14:textId="77777777" w:rsidR="00A3773E" w:rsidRPr="009E68C4" w:rsidRDefault="00A3773E" w:rsidP="00A3773E">
    <w:pPr>
      <w:pStyle w:val="Normaalweb"/>
      <w:spacing w:before="0" w:beforeAutospacing="0" w:after="0" w:afterAutospacing="0"/>
      <w:rPr>
        <w:sz w:val="16"/>
        <w:szCs w:val="16"/>
        <w:lang w:val="en-GB"/>
      </w:rPr>
    </w:pPr>
    <w:r w:rsidRPr="001609ED">
      <w:rPr>
        <w:sz w:val="16"/>
        <w:szCs w:val="16"/>
        <w:lang w:val="en-US"/>
      </w:rPr>
      <w:t xml:space="preserve">This document is issued within the frame and for the purpose of the </w:t>
    </w:r>
    <w:r w:rsidRPr="00F863B1">
      <w:rPr>
        <w:sz w:val="16"/>
        <w:szCs w:val="16"/>
        <w:lang w:val="en-US"/>
      </w:rPr>
      <w:t>DE4A</w:t>
    </w:r>
    <w:r w:rsidRPr="001609ED">
      <w:rPr>
        <w:sz w:val="16"/>
        <w:szCs w:val="16"/>
        <w:lang w:val="en-US"/>
      </w:rPr>
      <w:t xml:space="preserve"> project. This project has received funding from the European Union’s</w:t>
    </w:r>
    <w:r w:rsidRPr="00F863B1">
      <w:rPr>
        <w:sz w:val="16"/>
        <w:szCs w:val="16"/>
        <w:lang w:val="en-US"/>
      </w:rPr>
      <w:t xml:space="preserve"> Horizon2020 Framework </w:t>
    </w:r>
    <w:proofErr w:type="spellStart"/>
    <w:r w:rsidRPr="00F863B1">
      <w:rPr>
        <w:sz w:val="16"/>
        <w:szCs w:val="16"/>
        <w:lang w:val="en-US"/>
      </w:rPr>
      <w:t>Programme</w:t>
    </w:r>
    <w:proofErr w:type="spellEnd"/>
    <w:r w:rsidRPr="001609ED">
      <w:rPr>
        <w:sz w:val="16"/>
        <w:szCs w:val="16"/>
        <w:lang w:val="en-US"/>
      </w:rPr>
      <w:t xml:space="preserve"> under Grant Agreement No. </w:t>
    </w:r>
    <w:r w:rsidRPr="00F863B1">
      <w:rPr>
        <w:sz w:val="16"/>
        <w:szCs w:val="16"/>
        <w:lang w:val="en-US"/>
      </w:rPr>
      <w:t xml:space="preserve">870635. </w:t>
    </w:r>
    <w:r w:rsidRPr="001609ED">
      <w:rPr>
        <w:sz w:val="16"/>
        <w:szCs w:val="16"/>
        <w:lang w:val="en-US"/>
      </w:rPr>
      <w:t xml:space="preserve"> The opinions expressed and arguments employed herein do not necessarily reflect the official views of the European </w:t>
    </w:r>
    <w:r w:rsidRPr="00412FD7">
      <w:rPr>
        <w:sz w:val="16"/>
        <w:szCs w:val="16"/>
        <w:lang w:val="en-US"/>
      </w:rPr>
      <w:t>Commission.</w:t>
    </w:r>
  </w:p>
  <w:p w14:paraId="03FD6BCF" w14:textId="77777777" w:rsidR="00A3773E" w:rsidRPr="009E68C4" w:rsidRDefault="00A3773E" w:rsidP="00A3773E">
    <w:pPr>
      <w:pStyle w:val="Normaalweb"/>
      <w:spacing w:before="0" w:beforeAutospacing="0" w:after="0" w:afterAutospacing="0"/>
      <w:rPr>
        <w:sz w:val="16"/>
        <w:szCs w:val="16"/>
        <w:lang w:val="en-GB"/>
      </w:rPr>
    </w:pPr>
    <w:r w:rsidRPr="00412FD7">
      <w:rPr>
        <w:sz w:val="16"/>
        <w:szCs w:val="16"/>
        <w:lang w:val="en-US"/>
      </w:rPr>
      <w:t>[This document and its content are the property of the</w:t>
    </w:r>
    <w:r w:rsidRPr="009E68C4">
      <w:rPr>
        <w:i/>
        <w:iCs/>
        <w:sz w:val="16"/>
        <w:szCs w:val="16"/>
        <w:lang w:val="en-GB"/>
      </w:rPr>
      <w:t xml:space="preserve"> DE4A</w:t>
    </w:r>
    <w:r w:rsidRPr="00412FD7">
      <w:rPr>
        <w:sz w:val="16"/>
        <w:szCs w:val="16"/>
        <w:lang w:val="en-US"/>
      </w:rPr>
      <w:t xml:space="preserve"> Consortium. All rights relevant to this document are determined by the applicable laws. Access to this document does not grant any right or license on the document or its contents. This document or its contents are not to be used or treated in any manner inconsistent with the rights or interests of the</w:t>
    </w:r>
    <w:r w:rsidRPr="009E68C4">
      <w:rPr>
        <w:i/>
        <w:iCs/>
        <w:sz w:val="16"/>
        <w:szCs w:val="16"/>
        <w:lang w:val="en-GB"/>
      </w:rPr>
      <w:t xml:space="preserve"> DE4A</w:t>
    </w:r>
    <w:r w:rsidRPr="00412FD7">
      <w:rPr>
        <w:sz w:val="16"/>
        <w:szCs w:val="16"/>
        <w:lang w:val="en-US"/>
      </w:rPr>
      <w:t xml:space="preserve"> Consortium or the Partners detriment and are not to be disclosed externally without prior written consent from the </w:t>
    </w:r>
    <w:r w:rsidRPr="009E68C4">
      <w:rPr>
        <w:i/>
        <w:iCs/>
        <w:sz w:val="16"/>
        <w:szCs w:val="16"/>
        <w:lang w:val="en-GB"/>
      </w:rPr>
      <w:t>DE4A</w:t>
    </w:r>
    <w:r w:rsidRPr="00412FD7">
      <w:rPr>
        <w:sz w:val="16"/>
        <w:szCs w:val="16"/>
        <w:lang w:val="en-US"/>
      </w:rPr>
      <w:t xml:space="preserve"> Partners.</w:t>
    </w:r>
  </w:p>
  <w:p w14:paraId="2C1DA517" w14:textId="77777777" w:rsidR="00A3773E" w:rsidRPr="009E68C4" w:rsidRDefault="00A3773E" w:rsidP="00A3773E">
    <w:pPr>
      <w:pStyle w:val="Normaalweb"/>
      <w:spacing w:before="0" w:beforeAutospacing="0" w:after="0" w:afterAutospacing="0"/>
      <w:rPr>
        <w:sz w:val="16"/>
        <w:szCs w:val="16"/>
        <w:lang w:val="en-GB"/>
      </w:rPr>
    </w:pPr>
    <w:r w:rsidRPr="00412FD7">
      <w:rPr>
        <w:sz w:val="16"/>
        <w:szCs w:val="16"/>
        <w:lang w:val="en-US"/>
      </w:rPr>
      <w:t xml:space="preserve">Each </w:t>
    </w:r>
    <w:r w:rsidRPr="009E68C4">
      <w:rPr>
        <w:i/>
        <w:iCs/>
        <w:sz w:val="16"/>
        <w:szCs w:val="16"/>
        <w:lang w:val="en-GB"/>
      </w:rPr>
      <w:t>DE4A</w:t>
    </w:r>
    <w:r w:rsidRPr="00412FD7">
      <w:rPr>
        <w:sz w:val="16"/>
        <w:szCs w:val="16"/>
        <w:lang w:val="en-US"/>
      </w:rPr>
      <w:t xml:space="preserve"> Partner may use this document in conformity with the </w:t>
    </w:r>
    <w:r w:rsidRPr="009E68C4">
      <w:rPr>
        <w:i/>
        <w:iCs/>
        <w:sz w:val="16"/>
        <w:szCs w:val="16"/>
        <w:lang w:val="en-GB"/>
      </w:rPr>
      <w:t>DE4A</w:t>
    </w:r>
    <w:r w:rsidRPr="00412FD7">
      <w:rPr>
        <w:sz w:val="16"/>
        <w:szCs w:val="16"/>
        <w:lang w:val="en-US"/>
      </w:rPr>
      <w:t xml:space="preserve"> Consortium Grant Agreement provisions. </w:t>
    </w:r>
  </w:p>
  <w:p w14:paraId="08532260" w14:textId="77777777" w:rsidR="00A3773E" w:rsidRPr="00DD0522" w:rsidRDefault="00A3773E" w:rsidP="00A3773E">
    <w:pPr>
      <w:pStyle w:val="Normaalweb"/>
      <w:spacing w:before="0" w:beforeAutospacing="0" w:after="0" w:afterAutospacing="0"/>
      <w:rPr>
        <w:sz w:val="16"/>
        <w:szCs w:val="16"/>
        <w:lang w:val="en-US"/>
      </w:rPr>
    </w:pPr>
    <w:r w:rsidRPr="00412FD7">
      <w:rPr>
        <w:sz w:val="16"/>
        <w:szCs w:val="16"/>
        <w:lang w:val="en-US"/>
      </w:rPr>
      <w:t xml:space="preserve">(*) Dissemination level: </w:t>
    </w:r>
    <w:r w:rsidRPr="00412FD7">
      <w:rPr>
        <w:b/>
        <w:bCs/>
        <w:sz w:val="16"/>
        <w:szCs w:val="16"/>
        <w:lang w:val="en-US"/>
      </w:rPr>
      <w:t>PU</w:t>
    </w:r>
    <w:r w:rsidRPr="00412FD7">
      <w:rPr>
        <w:sz w:val="16"/>
        <w:szCs w:val="16"/>
        <w:lang w:val="en-US"/>
      </w:rPr>
      <w:t>: Public, fully open, e.g. web;</w:t>
    </w:r>
    <w:r w:rsidRPr="00412FD7">
      <w:rPr>
        <w:b/>
        <w:bCs/>
        <w:sz w:val="16"/>
        <w:szCs w:val="16"/>
        <w:lang w:val="en-US"/>
      </w:rPr>
      <w:t xml:space="preserve"> CO: </w:t>
    </w:r>
    <w:r w:rsidRPr="00412FD7">
      <w:rPr>
        <w:sz w:val="16"/>
        <w:szCs w:val="16"/>
        <w:lang w:val="en-US"/>
      </w:rPr>
      <w:t>Confidential, restricted under conditions set out in Model Grant Agreement;</w:t>
    </w:r>
    <w:r w:rsidRPr="00412FD7">
      <w:rPr>
        <w:b/>
        <w:bCs/>
        <w:sz w:val="16"/>
        <w:szCs w:val="16"/>
        <w:lang w:val="en-US"/>
      </w:rPr>
      <w:t xml:space="preserve"> CI: </w:t>
    </w:r>
    <w:r w:rsidRPr="00412FD7">
      <w:rPr>
        <w:sz w:val="16"/>
        <w:szCs w:val="16"/>
        <w:lang w:val="en-US"/>
      </w:rPr>
      <w:t xml:space="preserve">Classified, </w:t>
    </w:r>
    <w:r w:rsidRPr="00412FD7">
      <w:rPr>
        <w:b/>
        <w:bCs/>
        <w:sz w:val="16"/>
        <w:szCs w:val="16"/>
        <w:lang w:val="en-US"/>
      </w:rPr>
      <w:t xml:space="preserve">Int = </w:t>
    </w:r>
    <w:r w:rsidRPr="00412FD7">
      <w:rPr>
        <w:sz w:val="16"/>
        <w:szCs w:val="16"/>
        <w:lang w:val="en-US"/>
      </w:rPr>
      <w:t>Internal Working Document, information as referred to in Commission Decision 2001/844/EC.</w:t>
    </w:r>
  </w:p>
  <w:p w14:paraId="4634CA6C" w14:textId="77777777" w:rsidR="001C3118" w:rsidRPr="00A3773E" w:rsidRDefault="001C3118" w:rsidP="00FD59EA">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F937" w14:textId="77777777" w:rsidR="00937D35" w:rsidRDefault="00937D35" w:rsidP="00E10346">
      <w:r>
        <w:separator/>
      </w:r>
    </w:p>
  </w:footnote>
  <w:footnote w:type="continuationSeparator" w:id="0">
    <w:p w14:paraId="1A96A996" w14:textId="77777777" w:rsidR="00937D35" w:rsidRDefault="00937D35" w:rsidP="00E1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F27E" w14:textId="4C4D328B" w:rsidR="001C3118" w:rsidRPr="006E072A" w:rsidRDefault="00CE5459" w:rsidP="00CE5459">
    <w:pPr>
      <w:pStyle w:val="Koptekst"/>
      <w:pBdr>
        <w:bottom w:val="single" w:sz="6" w:space="1" w:color="auto"/>
      </w:pBdr>
      <w:rPr>
        <w:noProof/>
      </w:rPr>
    </w:pPr>
    <w:r w:rsidRPr="00F5422C">
      <w:rPr>
        <w:noProof/>
        <w:highlight w:val="yellow"/>
      </w:rPr>
      <w:drawing>
        <wp:anchor distT="0" distB="0" distL="114300" distR="114300" simplePos="0" relativeHeight="251659264" behindDoc="0" locked="0" layoutInCell="1" allowOverlap="1" wp14:anchorId="3EC9D1A3" wp14:editId="5F7C21FF">
          <wp:simplePos x="0" y="0"/>
          <wp:positionH relativeFrom="margin">
            <wp:posOffset>4678680</wp:posOffset>
          </wp:positionH>
          <wp:positionV relativeFrom="paragraph">
            <wp:posOffset>-205740</wp:posOffset>
          </wp:positionV>
          <wp:extent cx="1083945" cy="3702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t="11880" b="7148"/>
                  <a:stretch/>
                </pic:blipFill>
                <pic:spPr bwMode="auto">
                  <a:xfrm>
                    <a:off x="0" y="0"/>
                    <a:ext cx="10839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D10.5 </w:t>
    </w:r>
    <w:r w:rsidR="009007FF">
      <w:t>GEN</w:t>
    </w:r>
    <w:r w:rsidR="00EE2591">
      <w:t xml:space="preserve"> -</w:t>
    </w:r>
    <w:r w:rsidRPr="004D6CF5">
      <w:rPr>
        <w:lang w:val="en-GB"/>
      </w:rPr>
      <w:t>Requirement</w:t>
    </w:r>
    <w:r>
      <w:t xml:space="preserve"> No.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C3118" w:rsidRPr="00E104A9" w14:paraId="45CB599E" w14:textId="77777777" w:rsidTr="00246B4C">
      <w:tc>
        <w:tcPr>
          <w:tcW w:w="4643" w:type="dxa"/>
        </w:tcPr>
        <w:p w14:paraId="2C14F267" w14:textId="77777777" w:rsidR="001C3118" w:rsidRDefault="001C3118" w:rsidP="0008649B">
          <w:pPr>
            <w:tabs>
              <w:tab w:val="left" w:pos="2280"/>
            </w:tabs>
            <w:jc w:val="left"/>
            <w:rPr>
              <w:rFonts w:ascii="Century Gothic" w:hAnsi="Century Gothic"/>
              <w:color w:val="5C2A59"/>
              <w:sz w:val="28"/>
              <w:szCs w:val="28"/>
              <w:lang w:val="en-US"/>
            </w:rPr>
          </w:pPr>
        </w:p>
      </w:tc>
      <w:tc>
        <w:tcPr>
          <w:tcW w:w="4643" w:type="dxa"/>
        </w:tcPr>
        <w:p w14:paraId="3AA42279" w14:textId="5E8F6EEE" w:rsidR="001C3118" w:rsidRDefault="001C3118" w:rsidP="0008649B">
          <w:pPr>
            <w:tabs>
              <w:tab w:val="left" w:pos="2280"/>
            </w:tabs>
            <w:jc w:val="left"/>
            <w:rPr>
              <w:rFonts w:ascii="Century Gothic" w:hAnsi="Century Gothic"/>
              <w:color w:val="5C2A59"/>
              <w:sz w:val="28"/>
              <w:szCs w:val="28"/>
              <w:lang w:val="en-US"/>
            </w:rPr>
          </w:pPr>
        </w:p>
      </w:tc>
    </w:tr>
  </w:tbl>
  <w:p w14:paraId="2539DE30" w14:textId="77777777" w:rsidR="001C3118" w:rsidRPr="00F0543D" w:rsidRDefault="001C3118">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C56913"/>
    <w:multiLevelType w:val="multilevel"/>
    <w:tmpl w:val="472E05D4"/>
    <w:styleLink w:val="ARILISTA"/>
    <w:lvl w:ilvl="0">
      <w:start w:val="1"/>
      <w:numFmt w:val="bullet"/>
      <w:pStyle w:val="Bullet1"/>
      <w:lvlText w:val=""/>
      <w:lvlJc w:val="left"/>
      <w:pPr>
        <w:tabs>
          <w:tab w:val="num" w:pos="227"/>
        </w:tabs>
        <w:ind w:left="227" w:hanging="227"/>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0000"/>
      </w:rPr>
    </w:lvl>
    <w:lvl w:ilvl="2">
      <w:start w:val="1"/>
      <w:numFmt w:val="bullet"/>
      <w:lvlText w:val=""/>
      <w:lvlJc w:val="left"/>
      <w:pPr>
        <w:tabs>
          <w:tab w:val="num" w:pos="680"/>
        </w:tabs>
        <w:ind w:left="680" w:hanging="226"/>
      </w:pPr>
      <w:rPr>
        <w:rFonts w:ascii="Symbol" w:hAnsi="Symbol" w:hint="default"/>
        <w:color w:val="000000"/>
      </w:rPr>
    </w:lvl>
    <w:lvl w:ilvl="3">
      <w:start w:val="1"/>
      <w:numFmt w:val="bullet"/>
      <w:lvlText w:val=""/>
      <w:lvlJc w:val="left"/>
      <w:pPr>
        <w:tabs>
          <w:tab w:val="num" w:pos="907"/>
        </w:tabs>
        <w:ind w:left="907" w:hanging="227"/>
      </w:pPr>
      <w:rPr>
        <w:rFonts w:ascii="Wingdings" w:hAnsi="Wingdings" w:hint="default"/>
        <w:color w:val="000000"/>
      </w:rPr>
    </w:lvl>
    <w:lvl w:ilvl="4">
      <w:start w:val="1"/>
      <w:numFmt w:val="bullet"/>
      <w:lvlText w:val=""/>
      <w:lvlJc w:val="left"/>
      <w:pPr>
        <w:tabs>
          <w:tab w:val="num" w:pos="1134"/>
        </w:tabs>
        <w:ind w:left="1134" w:hanging="227"/>
      </w:pPr>
      <w:rPr>
        <w:rFonts w:ascii="Wingdings" w:hAnsi="Wingdings" w:hint="default"/>
        <w:color w:val="00000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808567C"/>
    <w:multiLevelType w:val="hybridMultilevel"/>
    <w:tmpl w:val="565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7933"/>
    <w:multiLevelType w:val="hybridMultilevel"/>
    <w:tmpl w:val="903A8E98"/>
    <w:lvl w:ilvl="0" w:tplc="8A50B20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4017D"/>
    <w:multiLevelType w:val="hybridMultilevel"/>
    <w:tmpl w:val="5DEA4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26D3F"/>
    <w:multiLevelType w:val="hybridMultilevel"/>
    <w:tmpl w:val="768E93C8"/>
    <w:lvl w:ilvl="0" w:tplc="FEB6508E">
      <w:start w:val="1"/>
      <w:numFmt w:val="decimal"/>
      <w:pStyle w:val="Crossreference"/>
      <w:lvlText w:val="[%1]"/>
      <w:lvlJc w:val="left"/>
      <w:pPr>
        <w:tabs>
          <w:tab w:val="num" w:pos="360"/>
        </w:tabs>
        <w:ind w:left="360" w:hanging="360"/>
      </w:pPr>
      <w:rPr>
        <w:rFonts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0F31AD"/>
    <w:multiLevelType w:val="hybridMultilevel"/>
    <w:tmpl w:val="7F0EC74A"/>
    <w:lvl w:ilvl="0" w:tplc="E632959C">
      <w:start w:val="1"/>
      <w:numFmt w:val="bullet"/>
      <w:pStyle w:val="Moveu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A2084"/>
    <w:multiLevelType w:val="hybridMultilevel"/>
    <w:tmpl w:val="2FFA0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9A6F5D"/>
    <w:multiLevelType w:val="hybridMultilevel"/>
    <w:tmpl w:val="1B02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434B3"/>
    <w:multiLevelType w:val="hybridMultilevel"/>
    <w:tmpl w:val="BCD81C22"/>
    <w:lvl w:ilvl="0" w:tplc="0CA6BA9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000329"/>
    <w:multiLevelType w:val="multilevel"/>
    <w:tmpl w:val="12AA85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76F85"/>
    <w:multiLevelType w:val="hybridMultilevel"/>
    <w:tmpl w:val="004CC934"/>
    <w:lvl w:ilvl="0" w:tplc="4D566982">
      <w:start w:val="1"/>
      <w:numFmt w:val="bullet"/>
      <w:lvlText w:val="}"/>
      <w:lvlJc w:val="left"/>
      <w:pPr>
        <w:ind w:left="360" w:hanging="360"/>
      </w:pPr>
      <w:rPr>
        <w:rFonts w:ascii="Wingdings 3" w:hAnsi="Wingdings 3" w:hint="default"/>
        <w:b w:val="0"/>
        <w:i w:val="0"/>
        <w:color w:val="0066A1"/>
        <w:sz w:val="20"/>
      </w:rPr>
    </w:lvl>
    <w:lvl w:ilvl="1" w:tplc="BE6A72C0">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29544E"/>
    <w:multiLevelType w:val="multilevel"/>
    <w:tmpl w:val="472E05D4"/>
    <w:numStyleLink w:val="ARILISTA"/>
  </w:abstractNum>
  <w:abstractNum w:abstractNumId="13" w15:restartNumberingAfterBreak="0">
    <w:nsid w:val="2C712F05"/>
    <w:multiLevelType w:val="hybridMultilevel"/>
    <w:tmpl w:val="21D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E3412"/>
    <w:multiLevelType w:val="hybridMultilevel"/>
    <w:tmpl w:val="443AB56C"/>
    <w:lvl w:ilvl="0" w:tplc="779C2D16">
      <w:start w:val="1"/>
      <w:numFmt w:val="bullet"/>
      <w:pStyle w:val="Bullet5"/>
      <w:lvlText w:val=""/>
      <w:lvlJc w:val="left"/>
      <w:pPr>
        <w:ind w:left="1627" w:hanging="360"/>
      </w:pPr>
      <w:rPr>
        <w:rFonts w:ascii="Wingdings" w:hAnsi="Wingdings" w:hint="default"/>
        <w:color w:val="000000"/>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15" w15:restartNumberingAfterBreak="0">
    <w:nsid w:val="37C25B6C"/>
    <w:multiLevelType w:val="hybridMultilevel"/>
    <w:tmpl w:val="25C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95B6B"/>
    <w:multiLevelType w:val="hybridMultilevel"/>
    <w:tmpl w:val="30EAF56C"/>
    <w:lvl w:ilvl="0" w:tplc="D7402B66">
      <w:start w:val="1"/>
      <w:numFmt w:val="bullet"/>
      <w:pStyle w:val="Bullet3"/>
      <w:lvlText w:val=""/>
      <w:lvlJc w:val="left"/>
      <w:pPr>
        <w:ind w:left="1174" w:hanging="360"/>
      </w:pPr>
      <w:rPr>
        <w:rFonts w:ascii="Wingdings" w:hAnsi="Wingdings" w:hint="default"/>
        <w:color w:val="000000"/>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7" w15:restartNumberingAfterBreak="0">
    <w:nsid w:val="3FA73CF2"/>
    <w:multiLevelType w:val="hybridMultilevel"/>
    <w:tmpl w:val="932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010B6"/>
    <w:multiLevelType w:val="multilevel"/>
    <w:tmpl w:val="472E05D4"/>
    <w:numStyleLink w:val="ARILISTA"/>
  </w:abstractNum>
  <w:abstractNum w:abstractNumId="19" w15:restartNumberingAfterBreak="0">
    <w:nsid w:val="44A23522"/>
    <w:multiLevelType w:val="hybridMultilevel"/>
    <w:tmpl w:val="180A7918"/>
    <w:lvl w:ilvl="0" w:tplc="EE783242">
      <w:start w:val="1"/>
      <w:numFmt w:val="bullet"/>
      <w:pStyle w:val="TableBullet2"/>
      <w:lvlText w:val="-"/>
      <w:lvlJc w:val="left"/>
      <w:pPr>
        <w:ind w:left="576" w:hanging="360"/>
      </w:pPr>
      <w:rPr>
        <w:rFonts w:ascii="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8C69B7"/>
    <w:multiLevelType w:val="hybridMultilevel"/>
    <w:tmpl w:val="81DE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C0FC8"/>
    <w:multiLevelType w:val="multilevel"/>
    <w:tmpl w:val="472E05D4"/>
    <w:numStyleLink w:val="ARILISTA"/>
  </w:abstractNum>
  <w:abstractNum w:abstractNumId="22" w15:restartNumberingAfterBreak="0">
    <w:nsid w:val="514D3117"/>
    <w:multiLevelType w:val="multilevel"/>
    <w:tmpl w:val="E1B8FC12"/>
    <w:lvl w:ilvl="0">
      <w:start w:val="1"/>
      <w:numFmt w:val="decimal"/>
      <w:pStyle w:val="Kop1"/>
      <w:lvlText w:val="%1"/>
      <w:lvlJc w:val="left"/>
      <w:pPr>
        <w:tabs>
          <w:tab w:val="num" w:pos="1425"/>
        </w:tabs>
        <w:ind w:left="1425" w:hanging="432"/>
      </w:pPr>
      <w:rPr>
        <w:rFonts w:hint="default"/>
      </w:rPr>
    </w:lvl>
    <w:lvl w:ilvl="1">
      <w:start w:val="1"/>
      <w:numFmt w:val="decimal"/>
      <w:pStyle w:val="Kop2"/>
      <w:lvlText w:val="%1.%2"/>
      <w:lvlJc w:val="left"/>
      <w:pPr>
        <w:tabs>
          <w:tab w:val="num" w:pos="936"/>
        </w:tabs>
        <w:ind w:left="936" w:hanging="576"/>
      </w:pPr>
      <w:rPr>
        <w:rFonts w:hint="default"/>
      </w:rPr>
    </w:lvl>
    <w:lvl w:ilvl="2">
      <w:start w:val="1"/>
      <w:numFmt w:val="decimal"/>
      <w:pStyle w:val="Kop3"/>
      <w:lvlText w:val="%1.%2.%3"/>
      <w:lvlJc w:val="left"/>
      <w:pPr>
        <w:tabs>
          <w:tab w:val="num" w:pos="2279"/>
        </w:tabs>
        <w:ind w:left="2279" w:hanging="720"/>
      </w:pPr>
      <w:rPr>
        <w:rFonts w:hint="default"/>
      </w:rPr>
    </w:lvl>
    <w:lvl w:ilvl="3">
      <w:start w:val="1"/>
      <w:numFmt w:val="decimal"/>
      <w:pStyle w:val="Kop4"/>
      <w:lvlText w:val="%1.%2.%3.%4"/>
      <w:lvlJc w:val="left"/>
      <w:pPr>
        <w:tabs>
          <w:tab w:val="num" w:pos="1224"/>
        </w:tabs>
        <w:ind w:left="1224" w:hanging="864"/>
      </w:pPr>
      <w:rPr>
        <w:rFonts w:hint="default"/>
      </w:rPr>
    </w:lvl>
    <w:lvl w:ilvl="4">
      <w:start w:val="1"/>
      <w:numFmt w:val="decimal"/>
      <w:pStyle w:val="Kop5"/>
      <w:lvlText w:val="%1.%2.%3.%4.%5"/>
      <w:lvlJc w:val="left"/>
      <w:pPr>
        <w:tabs>
          <w:tab w:val="num" w:pos="1368"/>
        </w:tabs>
        <w:ind w:left="1368" w:hanging="1008"/>
      </w:pPr>
      <w:rPr>
        <w:rFonts w:hint="default"/>
      </w:rPr>
    </w:lvl>
    <w:lvl w:ilvl="5">
      <w:start w:val="1"/>
      <w:numFmt w:val="decimal"/>
      <w:pStyle w:val="Kop6"/>
      <w:lvlText w:val="%1.%2.%3.%4.%5.%6"/>
      <w:lvlJc w:val="left"/>
      <w:pPr>
        <w:tabs>
          <w:tab w:val="num" w:pos="1512"/>
        </w:tabs>
        <w:ind w:left="1512" w:hanging="1152"/>
      </w:pPr>
      <w:rPr>
        <w:rFonts w:hint="default"/>
      </w:rPr>
    </w:lvl>
    <w:lvl w:ilvl="6">
      <w:start w:val="1"/>
      <w:numFmt w:val="decimal"/>
      <w:pStyle w:val="Kop7"/>
      <w:lvlText w:val="%1.%2.%3.%4.%5.%6.%7"/>
      <w:lvlJc w:val="left"/>
      <w:pPr>
        <w:tabs>
          <w:tab w:val="num" w:pos="1656"/>
        </w:tabs>
        <w:ind w:left="1656" w:hanging="1296"/>
      </w:pPr>
      <w:rPr>
        <w:rFonts w:hint="default"/>
      </w:rPr>
    </w:lvl>
    <w:lvl w:ilvl="7">
      <w:start w:val="1"/>
      <w:numFmt w:val="decimal"/>
      <w:pStyle w:val="Kop8"/>
      <w:lvlText w:val="%1.%2.%3.%4.%5.%6.%7.%8"/>
      <w:lvlJc w:val="left"/>
      <w:pPr>
        <w:tabs>
          <w:tab w:val="num" w:pos="1800"/>
        </w:tabs>
        <w:ind w:left="1800" w:hanging="1440"/>
      </w:pPr>
      <w:rPr>
        <w:rFonts w:hint="default"/>
      </w:rPr>
    </w:lvl>
    <w:lvl w:ilvl="8">
      <w:start w:val="1"/>
      <w:numFmt w:val="decimal"/>
      <w:pStyle w:val="Kop9"/>
      <w:lvlText w:val="%1.%2.%3.%4.%5.%6.%7.%8.%9"/>
      <w:lvlJc w:val="left"/>
      <w:pPr>
        <w:tabs>
          <w:tab w:val="num" w:pos="1944"/>
        </w:tabs>
        <w:ind w:left="1944" w:hanging="1584"/>
      </w:pPr>
      <w:rPr>
        <w:rFonts w:hint="default"/>
      </w:rPr>
    </w:lvl>
  </w:abstractNum>
  <w:abstractNum w:abstractNumId="23" w15:restartNumberingAfterBreak="0">
    <w:nsid w:val="59D87AB5"/>
    <w:multiLevelType w:val="multilevel"/>
    <w:tmpl w:val="5D923C2A"/>
    <w:lvl w:ilvl="0">
      <w:start w:val="1"/>
      <w:numFmt w:val="bullet"/>
      <w:lvlText w:val=""/>
      <w:lvlJc w:val="left"/>
      <w:pPr>
        <w:ind w:left="360" w:hanging="360"/>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A553CAC"/>
    <w:multiLevelType w:val="hybridMultilevel"/>
    <w:tmpl w:val="45F0735E"/>
    <w:lvl w:ilvl="0" w:tplc="FFFFFFFF">
      <w:start w:val="1"/>
      <w:numFmt w:val="decimal"/>
      <w:pStyle w:val="massifreferences"/>
      <w:lvlText w:val="[%1] "/>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2D0DD4"/>
    <w:multiLevelType w:val="multilevel"/>
    <w:tmpl w:val="472E05D4"/>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002649E"/>
    <w:multiLevelType w:val="hybridMultilevel"/>
    <w:tmpl w:val="95544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5C3CF5"/>
    <w:multiLevelType w:val="hybridMultilevel"/>
    <w:tmpl w:val="5030C488"/>
    <w:lvl w:ilvl="0" w:tplc="1FF8D55C">
      <w:start w:val="1"/>
      <w:numFmt w:val="bullet"/>
      <w:pStyle w:val="Bullet4"/>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28" w15:restartNumberingAfterBreak="0">
    <w:nsid w:val="634B00AC"/>
    <w:multiLevelType w:val="hybridMultilevel"/>
    <w:tmpl w:val="76A2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42C02"/>
    <w:multiLevelType w:val="hybridMultilevel"/>
    <w:tmpl w:val="C962334A"/>
    <w:lvl w:ilvl="0" w:tplc="CDAAB16A">
      <w:start w:val="1"/>
      <w:numFmt w:val="decimal"/>
      <w:pStyle w:val="Questions"/>
      <w:lvlText w:val="%1."/>
      <w:lvlJc w:val="left"/>
      <w:pPr>
        <w:ind w:left="720" w:hanging="360"/>
      </w:pPr>
      <w:rPr>
        <w:rFonts w:ascii="Times New Roman" w:hAnsi="Times New Roman" w:hint="default"/>
        <w:b/>
        <w:i w:val="0"/>
        <w:color w:val="0066A1"/>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453AD"/>
    <w:multiLevelType w:val="hybridMultilevel"/>
    <w:tmpl w:val="CDCCBF24"/>
    <w:lvl w:ilvl="0" w:tplc="40DED150">
      <w:start w:val="1"/>
      <w:numFmt w:val="bullet"/>
      <w:pStyle w:val="Bullet2"/>
      <w:lvlText w:val="-"/>
      <w:lvlJc w:val="left"/>
      <w:pPr>
        <w:ind w:left="947" w:hanging="360"/>
      </w:pPr>
      <w:rPr>
        <w:rFonts w:ascii="Times New Roman" w:hAnsi="Times New Roman" w:cs="Times New Roman" w:hint="default"/>
        <w:color w:val="000000"/>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32" w15:restartNumberingAfterBreak="0">
    <w:nsid w:val="6CE675C6"/>
    <w:multiLevelType w:val="multilevel"/>
    <w:tmpl w:val="472E05D4"/>
    <w:numStyleLink w:val="ARILISTA"/>
  </w:abstractNum>
  <w:abstractNum w:abstractNumId="33" w15:restartNumberingAfterBreak="0">
    <w:nsid w:val="6D5B1420"/>
    <w:multiLevelType w:val="multilevel"/>
    <w:tmpl w:val="6F5CBCAE"/>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1C72E34"/>
    <w:multiLevelType w:val="hybridMultilevel"/>
    <w:tmpl w:val="9192FA88"/>
    <w:lvl w:ilvl="0" w:tplc="D2660C32">
      <w:start w:val="1"/>
      <w:numFmt w:val="bullet"/>
      <w:pStyle w:val="TableBullet1"/>
      <w:lvlText w:val=""/>
      <w:lvlJc w:val="left"/>
      <w:pPr>
        <w:ind w:left="720" w:hanging="360"/>
      </w:pPr>
      <w:rPr>
        <w:rFonts w:ascii="Wingdings"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E9631F"/>
    <w:multiLevelType w:val="hybridMultilevel"/>
    <w:tmpl w:val="BF4A33DA"/>
    <w:lvl w:ilvl="0" w:tplc="64DE2B7E">
      <w:start w:val="12"/>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4E1120"/>
    <w:multiLevelType w:val="multilevel"/>
    <w:tmpl w:val="472E05D4"/>
    <w:numStyleLink w:val="ARILISTA"/>
  </w:abstractNum>
  <w:abstractNum w:abstractNumId="37" w15:restartNumberingAfterBreak="0">
    <w:nsid w:val="7CB20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78725E"/>
    <w:multiLevelType w:val="hybridMultilevel"/>
    <w:tmpl w:val="C3FA0A32"/>
    <w:lvl w:ilvl="0" w:tplc="68ACFF98">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3"/>
  </w:num>
  <w:num w:numId="5">
    <w:abstractNumId w:val="22"/>
  </w:num>
  <w:num w:numId="6">
    <w:abstractNumId w:val="1"/>
  </w:num>
  <w:num w:numId="7">
    <w:abstractNumId w:val="23"/>
  </w:num>
  <w:num w:numId="8">
    <w:abstractNumId w:val="33"/>
  </w:num>
  <w:num w:numId="9">
    <w:abstractNumId w:val="29"/>
  </w:num>
  <w:num w:numId="10">
    <w:abstractNumId w:val="34"/>
  </w:num>
  <w:num w:numId="11">
    <w:abstractNumId w:val="19"/>
  </w:num>
  <w:num w:numId="12">
    <w:abstractNumId w:val="17"/>
  </w:num>
  <w:num w:numId="13">
    <w:abstractNumId w:val="15"/>
  </w:num>
  <w:num w:numId="14">
    <w:abstractNumId w:val="28"/>
  </w:num>
  <w:num w:numId="15">
    <w:abstractNumId w:val="6"/>
  </w:num>
  <w:num w:numId="16">
    <w:abstractNumId w:val="30"/>
  </w:num>
  <w:num w:numId="17">
    <w:abstractNumId w:val="24"/>
  </w:num>
  <w:num w:numId="18">
    <w:abstractNumId w:val="2"/>
  </w:num>
  <w:num w:numId="19">
    <w:abstractNumId w:val="3"/>
  </w:num>
  <w:num w:numId="20">
    <w:abstractNumId w:val="36"/>
  </w:num>
  <w:num w:numId="21">
    <w:abstractNumId w:val="25"/>
  </w:num>
  <w:num w:numId="22">
    <w:abstractNumId w:val="1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2"/>
  </w:num>
  <w:num w:numId="26">
    <w:abstractNumId w:val="31"/>
  </w:num>
  <w:num w:numId="27">
    <w:abstractNumId w:val="16"/>
  </w:num>
  <w:num w:numId="28">
    <w:abstractNumId w:val="27"/>
  </w:num>
  <w:num w:numId="29">
    <w:abstractNumId w:val="14"/>
  </w:num>
  <w:num w:numId="30">
    <w:abstractNumId w:val="4"/>
  </w:num>
  <w:num w:numId="31">
    <w:abstractNumId w:val="8"/>
  </w:num>
  <w:num w:numId="32">
    <w:abstractNumId w:val="20"/>
  </w:num>
  <w:num w:numId="33">
    <w:abstractNumId w:val="21"/>
  </w:num>
  <w:num w:numId="34">
    <w:abstractNumId w:val="34"/>
    <w:lvlOverride w:ilvl="0">
      <w:startOverride w:val="1"/>
    </w:lvlOverride>
  </w:num>
  <w:num w:numId="35">
    <w:abstractNumId w:val="22"/>
  </w:num>
  <w:num w:numId="36">
    <w:abstractNumId w:val="9"/>
  </w:num>
  <w:num w:numId="37">
    <w:abstractNumId w:val="38"/>
  </w:num>
  <w:num w:numId="38">
    <w:abstractNumId w:val="26"/>
  </w:num>
  <w:num w:numId="39">
    <w:abstractNumId w:val="35"/>
  </w:num>
  <w:num w:numId="4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efaultTableStyle w:val="ARI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2"/>
    <w:rsid w:val="00001288"/>
    <w:rsid w:val="00002B6F"/>
    <w:rsid w:val="00004117"/>
    <w:rsid w:val="00005C90"/>
    <w:rsid w:val="00010312"/>
    <w:rsid w:val="0001083F"/>
    <w:rsid w:val="00011C58"/>
    <w:rsid w:val="00012FCA"/>
    <w:rsid w:val="0001406D"/>
    <w:rsid w:val="000140C1"/>
    <w:rsid w:val="000170A8"/>
    <w:rsid w:val="00017212"/>
    <w:rsid w:val="00020F03"/>
    <w:rsid w:val="0002278E"/>
    <w:rsid w:val="00024EC5"/>
    <w:rsid w:val="0002516E"/>
    <w:rsid w:val="000255A2"/>
    <w:rsid w:val="00026005"/>
    <w:rsid w:val="0003083C"/>
    <w:rsid w:val="0003102B"/>
    <w:rsid w:val="00033BF6"/>
    <w:rsid w:val="00037FC2"/>
    <w:rsid w:val="0004312C"/>
    <w:rsid w:val="00043DD1"/>
    <w:rsid w:val="000456CC"/>
    <w:rsid w:val="00052F03"/>
    <w:rsid w:val="00054754"/>
    <w:rsid w:val="00054AAA"/>
    <w:rsid w:val="00054E37"/>
    <w:rsid w:val="0005546B"/>
    <w:rsid w:val="000572E4"/>
    <w:rsid w:val="000576C4"/>
    <w:rsid w:val="00060F18"/>
    <w:rsid w:val="0006134A"/>
    <w:rsid w:val="000628BF"/>
    <w:rsid w:val="00064457"/>
    <w:rsid w:val="00065983"/>
    <w:rsid w:val="00066BAD"/>
    <w:rsid w:val="000670E1"/>
    <w:rsid w:val="000704AD"/>
    <w:rsid w:val="00070584"/>
    <w:rsid w:val="00071F62"/>
    <w:rsid w:val="00075211"/>
    <w:rsid w:val="00076C37"/>
    <w:rsid w:val="000822FA"/>
    <w:rsid w:val="000824CC"/>
    <w:rsid w:val="000840A8"/>
    <w:rsid w:val="000841FC"/>
    <w:rsid w:val="00084606"/>
    <w:rsid w:val="0008538B"/>
    <w:rsid w:val="0008649B"/>
    <w:rsid w:val="00090860"/>
    <w:rsid w:val="00091573"/>
    <w:rsid w:val="00092EB9"/>
    <w:rsid w:val="000A1194"/>
    <w:rsid w:val="000A1582"/>
    <w:rsid w:val="000A1A80"/>
    <w:rsid w:val="000A1AA3"/>
    <w:rsid w:val="000A4B6D"/>
    <w:rsid w:val="000A53A5"/>
    <w:rsid w:val="000A6FD5"/>
    <w:rsid w:val="000B66F0"/>
    <w:rsid w:val="000B685C"/>
    <w:rsid w:val="000B6904"/>
    <w:rsid w:val="000C2722"/>
    <w:rsid w:val="000C3A39"/>
    <w:rsid w:val="000C527D"/>
    <w:rsid w:val="000C5932"/>
    <w:rsid w:val="000C790B"/>
    <w:rsid w:val="000D28CD"/>
    <w:rsid w:val="000D4634"/>
    <w:rsid w:val="000D4CCA"/>
    <w:rsid w:val="000D7DF1"/>
    <w:rsid w:val="000E09E4"/>
    <w:rsid w:val="000E2E16"/>
    <w:rsid w:val="000E322B"/>
    <w:rsid w:val="000E46C6"/>
    <w:rsid w:val="000E60F4"/>
    <w:rsid w:val="000E64D8"/>
    <w:rsid w:val="000E7127"/>
    <w:rsid w:val="000F1694"/>
    <w:rsid w:val="000F22D1"/>
    <w:rsid w:val="000F2976"/>
    <w:rsid w:val="000F33AC"/>
    <w:rsid w:val="000F3CBF"/>
    <w:rsid w:val="000F6383"/>
    <w:rsid w:val="00102C30"/>
    <w:rsid w:val="00104758"/>
    <w:rsid w:val="00104A8B"/>
    <w:rsid w:val="00105079"/>
    <w:rsid w:val="00105ECE"/>
    <w:rsid w:val="00106DD2"/>
    <w:rsid w:val="0011096F"/>
    <w:rsid w:val="0011119E"/>
    <w:rsid w:val="00111635"/>
    <w:rsid w:val="00112031"/>
    <w:rsid w:val="001129C3"/>
    <w:rsid w:val="00112B6C"/>
    <w:rsid w:val="00114578"/>
    <w:rsid w:val="00114C1B"/>
    <w:rsid w:val="0012204D"/>
    <w:rsid w:val="0012384B"/>
    <w:rsid w:val="00123A75"/>
    <w:rsid w:val="001248C8"/>
    <w:rsid w:val="0012562E"/>
    <w:rsid w:val="0012769F"/>
    <w:rsid w:val="00130A18"/>
    <w:rsid w:val="00131143"/>
    <w:rsid w:val="00132C41"/>
    <w:rsid w:val="001352DD"/>
    <w:rsid w:val="00137B72"/>
    <w:rsid w:val="00141AAA"/>
    <w:rsid w:val="001428BF"/>
    <w:rsid w:val="0014418A"/>
    <w:rsid w:val="001447F8"/>
    <w:rsid w:val="00144BD8"/>
    <w:rsid w:val="00144C68"/>
    <w:rsid w:val="00146892"/>
    <w:rsid w:val="00147C1E"/>
    <w:rsid w:val="0015038C"/>
    <w:rsid w:val="00150BCE"/>
    <w:rsid w:val="00154BAE"/>
    <w:rsid w:val="0016054A"/>
    <w:rsid w:val="001611ED"/>
    <w:rsid w:val="00161504"/>
    <w:rsid w:val="00161613"/>
    <w:rsid w:val="00165CEA"/>
    <w:rsid w:val="001708EA"/>
    <w:rsid w:val="001722B6"/>
    <w:rsid w:val="00174120"/>
    <w:rsid w:val="00174E70"/>
    <w:rsid w:val="00175BC5"/>
    <w:rsid w:val="0017707C"/>
    <w:rsid w:val="00177589"/>
    <w:rsid w:val="00177767"/>
    <w:rsid w:val="001815D7"/>
    <w:rsid w:val="001846E4"/>
    <w:rsid w:val="00184B2C"/>
    <w:rsid w:val="00186E0F"/>
    <w:rsid w:val="00190B57"/>
    <w:rsid w:val="001912BE"/>
    <w:rsid w:val="0019436E"/>
    <w:rsid w:val="00194618"/>
    <w:rsid w:val="00194F59"/>
    <w:rsid w:val="0019699E"/>
    <w:rsid w:val="00196D10"/>
    <w:rsid w:val="00197119"/>
    <w:rsid w:val="001A208D"/>
    <w:rsid w:val="001A50D3"/>
    <w:rsid w:val="001A5158"/>
    <w:rsid w:val="001B197E"/>
    <w:rsid w:val="001B79AE"/>
    <w:rsid w:val="001C13F6"/>
    <w:rsid w:val="001C19CF"/>
    <w:rsid w:val="001C2591"/>
    <w:rsid w:val="001C3118"/>
    <w:rsid w:val="001C6E6F"/>
    <w:rsid w:val="001C748F"/>
    <w:rsid w:val="001C7691"/>
    <w:rsid w:val="001D1CAD"/>
    <w:rsid w:val="001D23CF"/>
    <w:rsid w:val="001D29F8"/>
    <w:rsid w:val="001D773B"/>
    <w:rsid w:val="001D78DA"/>
    <w:rsid w:val="001E3C23"/>
    <w:rsid w:val="001E7E02"/>
    <w:rsid w:val="001F1069"/>
    <w:rsid w:val="001F245C"/>
    <w:rsid w:val="001F24A0"/>
    <w:rsid w:val="001F3850"/>
    <w:rsid w:val="001F41F0"/>
    <w:rsid w:val="001F57DC"/>
    <w:rsid w:val="001F73AA"/>
    <w:rsid w:val="00204C04"/>
    <w:rsid w:val="00206B32"/>
    <w:rsid w:val="002076B7"/>
    <w:rsid w:val="00207CEC"/>
    <w:rsid w:val="00211160"/>
    <w:rsid w:val="00212E0F"/>
    <w:rsid w:val="00213336"/>
    <w:rsid w:val="00213C12"/>
    <w:rsid w:val="00217170"/>
    <w:rsid w:val="00217550"/>
    <w:rsid w:val="00220137"/>
    <w:rsid w:val="00220A38"/>
    <w:rsid w:val="00223184"/>
    <w:rsid w:val="00225EC5"/>
    <w:rsid w:val="002268B6"/>
    <w:rsid w:val="00226BAF"/>
    <w:rsid w:val="00227D8F"/>
    <w:rsid w:val="0023022A"/>
    <w:rsid w:val="0023662E"/>
    <w:rsid w:val="00237388"/>
    <w:rsid w:val="00246B4C"/>
    <w:rsid w:val="0024791F"/>
    <w:rsid w:val="00247EBD"/>
    <w:rsid w:val="00250A39"/>
    <w:rsid w:val="00254D6E"/>
    <w:rsid w:val="002606D9"/>
    <w:rsid w:val="00260C96"/>
    <w:rsid w:val="002626F7"/>
    <w:rsid w:val="00267308"/>
    <w:rsid w:val="00270DFA"/>
    <w:rsid w:val="00272C47"/>
    <w:rsid w:val="0027394C"/>
    <w:rsid w:val="002749DB"/>
    <w:rsid w:val="00275A96"/>
    <w:rsid w:val="00277A5E"/>
    <w:rsid w:val="00281E12"/>
    <w:rsid w:val="00281FED"/>
    <w:rsid w:val="00282768"/>
    <w:rsid w:val="002904CB"/>
    <w:rsid w:val="00290D2D"/>
    <w:rsid w:val="002936D2"/>
    <w:rsid w:val="00293E73"/>
    <w:rsid w:val="00293EB5"/>
    <w:rsid w:val="00294BD5"/>
    <w:rsid w:val="002A1B65"/>
    <w:rsid w:val="002A20D9"/>
    <w:rsid w:val="002A43D1"/>
    <w:rsid w:val="002A4655"/>
    <w:rsid w:val="002A56CA"/>
    <w:rsid w:val="002A7B3D"/>
    <w:rsid w:val="002B2272"/>
    <w:rsid w:val="002B466E"/>
    <w:rsid w:val="002B4950"/>
    <w:rsid w:val="002C0D28"/>
    <w:rsid w:val="002C0D78"/>
    <w:rsid w:val="002C15A5"/>
    <w:rsid w:val="002C3229"/>
    <w:rsid w:val="002C5B80"/>
    <w:rsid w:val="002C7879"/>
    <w:rsid w:val="002D0538"/>
    <w:rsid w:val="002D0655"/>
    <w:rsid w:val="002D0A2F"/>
    <w:rsid w:val="002D0E0D"/>
    <w:rsid w:val="002D4BBA"/>
    <w:rsid w:val="002D729C"/>
    <w:rsid w:val="002D72B4"/>
    <w:rsid w:val="002E107A"/>
    <w:rsid w:val="002E1A66"/>
    <w:rsid w:val="002E233A"/>
    <w:rsid w:val="002E3721"/>
    <w:rsid w:val="002E4E7A"/>
    <w:rsid w:val="002E712B"/>
    <w:rsid w:val="002F1AC6"/>
    <w:rsid w:val="002F4620"/>
    <w:rsid w:val="002F5C71"/>
    <w:rsid w:val="002F5CDE"/>
    <w:rsid w:val="002F65C3"/>
    <w:rsid w:val="002F6FA4"/>
    <w:rsid w:val="002F727E"/>
    <w:rsid w:val="002F7D8B"/>
    <w:rsid w:val="00300C16"/>
    <w:rsid w:val="003013BB"/>
    <w:rsid w:val="003026F3"/>
    <w:rsid w:val="00303190"/>
    <w:rsid w:val="0030369C"/>
    <w:rsid w:val="0030527F"/>
    <w:rsid w:val="0030530F"/>
    <w:rsid w:val="0030667F"/>
    <w:rsid w:val="0030797D"/>
    <w:rsid w:val="00310DCF"/>
    <w:rsid w:val="0031183B"/>
    <w:rsid w:val="00312C75"/>
    <w:rsid w:val="00314E47"/>
    <w:rsid w:val="00320762"/>
    <w:rsid w:val="00322EDA"/>
    <w:rsid w:val="003248CE"/>
    <w:rsid w:val="00325047"/>
    <w:rsid w:val="003264D2"/>
    <w:rsid w:val="0032653D"/>
    <w:rsid w:val="003276D4"/>
    <w:rsid w:val="00327933"/>
    <w:rsid w:val="00327F13"/>
    <w:rsid w:val="003318A2"/>
    <w:rsid w:val="0033266C"/>
    <w:rsid w:val="00332BF2"/>
    <w:rsid w:val="00337692"/>
    <w:rsid w:val="003404E7"/>
    <w:rsid w:val="0034218D"/>
    <w:rsid w:val="0034338C"/>
    <w:rsid w:val="0034368B"/>
    <w:rsid w:val="00345378"/>
    <w:rsid w:val="00347390"/>
    <w:rsid w:val="003478A9"/>
    <w:rsid w:val="0035087E"/>
    <w:rsid w:val="00353735"/>
    <w:rsid w:val="00353E28"/>
    <w:rsid w:val="00354D24"/>
    <w:rsid w:val="003564E4"/>
    <w:rsid w:val="00365D47"/>
    <w:rsid w:val="003666E4"/>
    <w:rsid w:val="00367E3D"/>
    <w:rsid w:val="00370F1A"/>
    <w:rsid w:val="00372239"/>
    <w:rsid w:val="003727D2"/>
    <w:rsid w:val="003730F6"/>
    <w:rsid w:val="0037501C"/>
    <w:rsid w:val="00375272"/>
    <w:rsid w:val="00375D27"/>
    <w:rsid w:val="00380213"/>
    <w:rsid w:val="0038026D"/>
    <w:rsid w:val="00383256"/>
    <w:rsid w:val="003843BD"/>
    <w:rsid w:val="003851DE"/>
    <w:rsid w:val="003878D8"/>
    <w:rsid w:val="00387B48"/>
    <w:rsid w:val="0039068C"/>
    <w:rsid w:val="00392069"/>
    <w:rsid w:val="003935AE"/>
    <w:rsid w:val="003949CE"/>
    <w:rsid w:val="003A226E"/>
    <w:rsid w:val="003A2541"/>
    <w:rsid w:val="003A3FD0"/>
    <w:rsid w:val="003A4082"/>
    <w:rsid w:val="003A4A42"/>
    <w:rsid w:val="003A4FB1"/>
    <w:rsid w:val="003A69E3"/>
    <w:rsid w:val="003B1194"/>
    <w:rsid w:val="003B2950"/>
    <w:rsid w:val="003B57CE"/>
    <w:rsid w:val="003B6B0B"/>
    <w:rsid w:val="003C01C4"/>
    <w:rsid w:val="003C2EAB"/>
    <w:rsid w:val="003C3457"/>
    <w:rsid w:val="003C71CA"/>
    <w:rsid w:val="003D14DC"/>
    <w:rsid w:val="003D16C9"/>
    <w:rsid w:val="003D1A0B"/>
    <w:rsid w:val="003D2082"/>
    <w:rsid w:val="003D20DF"/>
    <w:rsid w:val="003D4C82"/>
    <w:rsid w:val="003D7877"/>
    <w:rsid w:val="003E1604"/>
    <w:rsid w:val="003E4A09"/>
    <w:rsid w:val="003E6035"/>
    <w:rsid w:val="003F049B"/>
    <w:rsid w:val="003F27DA"/>
    <w:rsid w:val="003F3111"/>
    <w:rsid w:val="00402EAE"/>
    <w:rsid w:val="00403DCF"/>
    <w:rsid w:val="004049AB"/>
    <w:rsid w:val="004052E1"/>
    <w:rsid w:val="00405867"/>
    <w:rsid w:val="0040592B"/>
    <w:rsid w:val="0041090B"/>
    <w:rsid w:val="00412FD7"/>
    <w:rsid w:val="004138A6"/>
    <w:rsid w:val="00414520"/>
    <w:rsid w:val="00414D70"/>
    <w:rsid w:val="00415DF1"/>
    <w:rsid w:val="00417286"/>
    <w:rsid w:val="00422919"/>
    <w:rsid w:val="004231CE"/>
    <w:rsid w:val="004257A3"/>
    <w:rsid w:val="00426CF7"/>
    <w:rsid w:val="00435004"/>
    <w:rsid w:val="00440419"/>
    <w:rsid w:val="00440BE9"/>
    <w:rsid w:val="004415B5"/>
    <w:rsid w:val="004417A4"/>
    <w:rsid w:val="00444F76"/>
    <w:rsid w:val="00446FA5"/>
    <w:rsid w:val="00447126"/>
    <w:rsid w:val="004504B9"/>
    <w:rsid w:val="004508A9"/>
    <w:rsid w:val="004529A8"/>
    <w:rsid w:val="00452F7E"/>
    <w:rsid w:val="00457F1C"/>
    <w:rsid w:val="00460BEB"/>
    <w:rsid w:val="00461576"/>
    <w:rsid w:val="00461AF1"/>
    <w:rsid w:val="00463676"/>
    <w:rsid w:val="00464BB7"/>
    <w:rsid w:val="0046614B"/>
    <w:rsid w:val="00470548"/>
    <w:rsid w:val="0047080B"/>
    <w:rsid w:val="004709BF"/>
    <w:rsid w:val="00474663"/>
    <w:rsid w:val="0047482E"/>
    <w:rsid w:val="004751E8"/>
    <w:rsid w:val="00476A79"/>
    <w:rsid w:val="004770B7"/>
    <w:rsid w:val="0047725D"/>
    <w:rsid w:val="00477996"/>
    <w:rsid w:val="004815CC"/>
    <w:rsid w:val="004900E3"/>
    <w:rsid w:val="0049164F"/>
    <w:rsid w:val="004920C6"/>
    <w:rsid w:val="00492D9D"/>
    <w:rsid w:val="0049380B"/>
    <w:rsid w:val="00494E16"/>
    <w:rsid w:val="00494E9B"/>
    <w:rsid w:val="004950E1"/>
    <w:rsid w:val="0049525E"/>
    <w:rsid w:val="00495344"/>
    <w:rsid w:val="004971D1"/>
    <w:rsid w:val="00497813"/>
    <w:rsid w:val="004A1DBB"/>
    <w:rsid w:val="004A3098"/>
    <w:rsid w:val="004A6D6A"/>
    <w:rsid w:val="004A717A"/>
    <w:rsid w:val="004A76FE"/>
    <w:rsid w:val="004A7B70"/>
    <w:rsid w:val="004B1362"/>
    <w:rsid w:val="004B2385"/>
    <w:rsid w:val="004B4C84"/>
    <w:rsid w:val="004C0659"/>
    <w:rsid w:val="004C0CA0"/>
    <w:rsid w:val="004C1E18"/>
    <w:rsid w:val="004C4101"/>
    <w:rsid w:val="004C44AC"/>
    <w:rsid w:val="004C5B40"/>
    <w:rsid w:val="004D00EC"/>
    <w:rsid w:val="004D1C99"/>
    <w:rsid w:val="004D2061"/>
    <w:rsid w:val="004D2783"/>
    <w:rsid w:val="004D2D44"/>
    <w:rsid w:val="004D2FFA"/>
    <w:rsid w:val="004D3211"/>
    <w:rsid w:val="004D5B4D"/>
    <w:rsid w:val="004D6CF5"/>
    <w:rsid w:val="004D765A"/>
    <w:rsid w:val="004E0807"/>
    <w:rsid w:val="004E284D"/>
    <w:rsid w:val="004E54D6"/>
    <w:rsid w:val="004E6F6C"/>
    <w:rsid w:val="004F08EB"/>
    <w:rsid w:val="004F2B4D"/>
    <w:rsid w:val="004F34FC"/>
    <w:rsid w:val="004F5528"/>
    <w:rsid w:val="004F6BED"/>
    <w:rsid w:val="005000C0"/>
    <w:rsid w:val="0050031E"/>
    <w:rsid w:val="00503081"/>
    <w:rsid w:val="005060BF"/>
    <w:rsid w:val="00510730"/>
    <w:rsid w:val="0051178E"/>
    <w:rsid w:val="00511DD3"/>
    <w:rsid w:val="00511F5E"/>
    <w:rsid w:val="00514963"/>
    <w:rsid w:val="005159E1"/>
    <w:rsid w:val="00523183"/>
    <w:rsid w:val="005259D9"/>
    <w:rsid w:val="00525C6D"/>
    <w:rsid w:val="005308B6"/>
    <w:rsid w:val="005318E6"/>
    <w:rsid w:val="00534649"/>
    <w:rsid w:val="005359F0"/>
    <w:rsid w:val="0053781C"/>
    <w:rsid w:val="00537FA8"/>
    <w:rsid w:val="0054043A"/>
    <w:rsid w:val="00540B6A"/>
    <w:rsid w:val="00540DFA"/>
    <w:rsid w:val="00542398"/>
    <w:rsid w:val="00546FD1"/>
    <w:rsid w:val="00550650"/>
    <w:rsid w:val="00550D93"/>
    <w:rsid w:val="00551109"/>
    <w:rsid w:val="005528C1"/>
    <w:rsid w:val="0055543D"/>
    <w:rsid w:val="00555A1E"/>
    <w:rsid w:val="005568A0"/>
    <w:rsid w:val="00557E11"/>
    <w:rsid w:val="0056191A"/>
    <w:rsid w:val="00563344"/>
    <w:rsid w:val="00564E60"/>
    <w:rsid w:val="0057052F"/>
    <w:rsid w:val="005735AA"/>
    <w:rsid w:val="00573C20"/>
    <w:rsid w:val="00573C71"/>
    <w:rsid w:val="00575D8C"/>
    <w:rsid w:val="0057706B"/>
    <w:rsid w:val="005777D5"/>
    <w:rsid w:val="00580A3C"/>
    <w:rsid w:val="00580E51"/>
    <w:rsid w:val="00580FE5"/>
    <w:rsid w:val="00582306"/>
    <w:rsid w:val="00582976"/>
    <w:rsid w:val="00583B18"/>
    <w:rsid w:val="00584C40"/>
    <w:rsid w:val="00585421"/>
    <w:rsid w:val="00586026"/>
    <w:rsid w:val="00586270"/>
    <w:rsid w:val="005868D6"/>
    <w:rsid w:val="00586BB3"/>
    <w:rsid w:val="005A05EB"/>
    <w:rsid w:val="005A0E0F"/>
    <w:rsid w:val="005A0F93"/>
    <w:rsid w:val="005A20A7"/>
    <w:rsid w:val="005A26B3"/>
    <w:rsid w:val="005A3F24"/>
    <w:rsid w:val="005A43C9"/>
    <w:rsid w:val="005A54DB"/>
    <w:rsid w:val="005B4E94"/>
    <w:rsid w:val="005B6C73"/>
    <w:rsid w:val="005C01E2"/>
    <w:rsid w:val="005C2825"/>
    <w:rsid w:val="005C2DB6"/>
    <w:rsid w:val="005C2EBF"/>
    <w:rsid w:val="005C4015"/>
    <w:rsid w:val="005C409A"/>
    <w:rsid w:val="005C5338"/>
    <w:rsid w:val="005C6308"/>
    <w:rsid w:val="005D0DDB"/>
    <w:rsid w:val="005D2ACC"/>
    <w:rsid w:val="005D2F67"/>
    <w:rsid w:val="005D349C"/>
    <w:rsid w:val="005D4C8C"/>
    <w:rsid w:val="005D53E3"/>
    <w:rsid w:val="005D5416"/>
    <w:rsid w:val="005D7BEE"/>
    <w:rsid w:val="005D7D9F"/>
    <w:rsid w:val="005E0960"/>
    <w:rsid w:val="005E1BB0"/>
    <w:rsid w:val="005E261F"/>
    <w:rsid w:val="005E6BE9"/>
    <w:rsid w:val="005F0DF3"/>
    <w:rsid w:val="005F36F7"/>
    <w:rsid w:val="005F419B"/>
    <w:rsid w:val="005F4270"/>
    <w:rsid w:val="005F685C"/>
    <w:rsid w:val="0060246E"/>
    <w:rsid w:val="00602ABD"/>
    <w:rsid w:val="006053D5"/>
    <w:rsid w:val="006057F6"/>
    <w:rsid w:val="00605B56"/>
    <w:rsid w:val="006067C8"/>
    <w:rsid w:val="00610AA6"/>
    <w:rsid w:val="00610D2D"/>
    <w:rsid w:val="00611EBC"/>
    <w:rsid w:val="0061298D"/>
    <w:rsid w:val="00612CF0"/>
    <w:rsid w:val="006141D7"/>
    <w:rsid w:val="006149AC"/>
    <w:rsid w:val="00615108"/>
    <w:rsid w:val="00615B65"/>
    <w:rsid w:val="00616321"/>
    <w:rsid w:val="00620E08"/>
    <w:rsid w:val="006325C5"/>
    <w:rsid w:val="0063324F"/>
    <w:rsid w:val="00633306"/>
    <w:rsid w:val="00634BFC"/>
    <w:rsid w:val="00640614"/>
    <w:rsid w:val="006421AE"/>
    <w:rsid w:val="00642895"/>
    <w:rsid w:val="00644D86"/>
    <w:rsid w:val="00644DBC"/>
    <w:rsid w:val="006459C0"/>
    <w:rsid w:val="0064607F"/>
    <w:rsid w:val="00646F29"/>
    <w:rsid w:val="006476F0"/>
    <w:rsid w:val="006505CB"/>
    <w:rsid w:val="0065148E"/>
    <w:rsid w:val="00651988"/>
    <w:rsid w:val="00655906"/>
    <w:rsid w:val="00657F1D"/>
    <w:rsid w:val="0066111D"/>
    <w:rsid w:val="00664154"/>
    <w:rsid w:val="006660FA"/>
    <w:rsid w:val="00667DF4"/>
    <w:rsid w:val="00672E53"/>
    <w:rsid w:val="00675561"/>
    <w:rsid w:val="006759D1"/>
    <w:rsid w:val="0068437C"/>
    <w:rsid w:val="00685000"/>
    <w:rsid w:val="00686144"/>
    <w:rsid w:val="006909FC"/>
    <w:rsid w:val="00690FD3"/>
    <w:rsid w:val="0069117B"/>
    <w:rsid w:val="0069165F"/>
    <w:rsid w:val="006918B4"/>
    <w:rsid w:val="00692E8A"/>
    <w:rsid w:val="00695EF6"/>
    <w:rsid w:val="006973BD"/>
    <w:rsid w:val="006A0B7C"/>
    <w:rsid w:val="006A190D"/>
    <w:rsid w:val="006A2151"/>
    <w:rsid w:val="006A27E4"/>
    <w:rsid w:val="006A35D4"/>
    <w:rsid w:val="006A3EB1"/>
    <w:rsid w:val="006A410F"/>
    <w:rsid w:val="006A4953"/>
    <w:rsid w:val="006B060A"/>
    <w:rsid w:val="006B1909"/>
    <w:rsid w:val="006B68EF"/>
    <w:rsid w:val="006B7491"/>
    <w:rsid w:val="006C20C7"/>
    <w:rsid w:val="006C3451"/>
    <w:rsid w:val="006C682D"/>
    <w:rsid w:val="006C6E5A"/>
    <w:rsid w:val="006D0981"/>
    <w:rsid w:val="006D26D6"/>
    <w:rsid w:val="006D3E3F"/>
    <w:rsid w:val="006D3F15"/>
    <w:rsid w:val="006D45F4"/>
    <w:rsid w:val="006D54FE"/>
    <w:rsid w:val="006D71E8"/>
    <w:rsid w:val="006D7214"/>
    <w:rsid w:val="006D7255"/>
    <w:rsid w:val="006E072A"/>
    <w:rsid w:val="006E090C"/>
    <w:rsid w:val="006E2971"/>
    <w:rsid w:val="006E4DEC"/>
    <w:rsid w:val="006E6019"/>
    <w:rsid w:val="006F13F5"/>
    <w:rsid w:val="006F1F87"/>
    <w:rsid w:val="006F39D6"/>
    <w:rsid w:val="006F75BE"/>
    <w:rsid w:val="006F7EF5"/>
    <w:rsid w:val="006F7F0E"/>
    <w:rsid w:val="00700555"/>
    <w:rsid w:val="00702764"/>
    <w:rsid w:val="0071024B"/>
    <w:rsid w:val="007120A4"/>
    <w:rsid w:val="0071212A"/>
    <w:rsid w:val="007151BD"/>
    <w:rsid w:val="007163F7"/>
    <w:rsid w:val="00717D53"/>
    <w:rsid w:val="0072037A"/>
    <w:rsid w:val="00720BF2"/>
    <w:rsid w:val="0072284E"/>
    <w:rsid w:val="00724270"/>
    <w:rsid w:val="007262A3"/>
    <w:rsid w:val="00727556"/>
    <w:rsid w:val="00727915"/>
    <w:rsid w:val="0072793C"/>
    <w:rsid w:val="007313C9"/>
    <w:rsid w:val="00732537"/>
    <w:rsid w:val="00733F3D"/>
    <w:rsid w:val="007410E3"/>
    <w:rsid w:val="0074188D"/>
    <w:rsid w:val="00741E05"/>
    <w:rsid w:val="007434B1"/>
    <w:rsid w:val="0074369E"/>
    <w:rsid w:val="007436AF"/>
    <w:rsid w:val="00743A87"/>
    <w:rsid w:val="007458D8"/>
    <w:rsid w:val="00746B90"/>
    <w:rsid w:val="0074749F"/>
    <w:rsid w:val="00751332"/>
    <w:rsid w:val="00755CCE"/>
    <w:rsid w:val="0075756E"/>
    <w:rsid w:val="00760CCB"/>
    <w:rsid w:val="00761DCD"/>
    <w:rsid w:val="00762666"/>
    <w:rsid w:val="00763A03"/>
    <w:rsid w:val="00767C4C"/>
    <w:rsid w:val="00770EF4"/>
    <w:rsid w:val="007714AA"/>
    <w:rsid w:val="007719A3"/>
    <w:rsid w:val="00774120"/>
    <w:rsid w:val="007747EA"/>
    <w:rsid w:val="00775A18"/>
    <w:rsid w:val="007761C0"/>
    <w:rsid w:val="0077677F"/>
    <w:rsid w:val="007805A3"/>
    <w:rsid w:val="00782B69"/>
    <w:rsid w:val="007833C6"/>
    <w:rsid w:val="00784F64"/>
    <w:rsid w:val="00785538"/>
    <w:rsid w:val="00791025"/>
    <w:rsid w:val="0079124C"/>
    <w:rsid w:val="007916B8"/>
    <w:rsid w:val="007932CF"/>
    <w:rsid w:val="0079510F"/>
    <w:rsid w:val="00795A3F"/>
    <w:rsid w:val="0079683B"/>
    <w:rsid w:val="007A0B9C"/>
    <w:rsid w:val="007A165C"/>
    <w:rsid w:val="007A1F9A"/>
    <w:rsid w:val="007A2BA7"/>
    <w:rsid w:val="007A34A4"/>
    <w:rsid w:val="007A3A77"/>
    <w:rsid w:val="007A5328"/>
    <w:rsid w:val="007A5D57"/>
    <w:rsid w:val="007A63CB"/>
    <w:rsid w:val="007A7344"/>
    <w:rsid w:val="007A74C0"/>
    <w:rsid w:val="007A79FE"/>
    <w:rsid w:val="007B05BF"/>
    <w:rsid w:val="007B096C"/>
    <w:rsid w:val="007B213A"/>
    <w:rsid w:val="007B2F39"/>
    <w:rsid w:val="007B5B80"/>
    <w:rsid w:val="007C3F70"/>
    <w:rsid w:val="007C433E"/>
    <w:rsid w:val="007C4583"/>
    <w:rsid w:val="007C5367"/>
    <w:rsid w:val="007D05F3"/>
    <w:rsid w:val="007D09EA"/>
    <w:rsid w:val="007D1293"/>
    <w:rsid w:val="007D1B33"/>
    <w:rsid w:val="007D21E5"/>
    <w:rsid w:val="007D2ACE"/>
    <w:rsid w:val="007D7C49"/>
    <w:rsid w:val="007E0293"/>
    <w:rsid w:val="007E0A75"/>
    <w:rsid w:val="007E361B"/>
    <w:rsid w:val="007E69C2"/>
    <w:rsid w:val="007E6A76"/>
    <w:rsid w:val="007F377D"/>
    <w:rsid w:val="008010C2"/>
    <w:rsid w:val="00802751"/>
    <w:rsid w:val="0080326F"/>
    <w:rsid w:val="008044A4"/>
    <w:rsid w:val="00804C1B"/>
    <w:rsid w:val="008060D3"/>
    <w:rsid w:val="008076AB"/>
    <w:rsid w:val="00813A64"/>
    <w:rsid w:val="00813D3C"/>
    <w:rsid w:val="0081575B"/>
    <w:rsid w:val="00817C74"/>
    <w:rsid w:val="0082176B"/>
    <w:rsid w:val="00822409"/>
    <w:rsid w:val="00822AF2"/>
    <w:rsid w:val="00824315"/>
    <w:rsid w:val="0082671E"/>
    <w:rsid w:val="00827F73"/>
    <w:rsid w:val="00834159"/>
    <w:rsid w:val="00843DCE"/>
    <w:rsid w:val="00844BD1"/>
    <w:rsid w:val="0084712F"/>
    <w:rsid w:val="00847166"/>
    <w:rsid w:val="00850064"/>
    <w:rsid w:val="00851E6B"/>
    <w:rsid w:val="00852DEC"/>
    <w:rsid w:val="008544E7"/>
    <w:rsid w:val="00856BBE"/>
    <w:rsid w:val="0086467F"/>
    <w:rsid w:val="00864772"/>
    <w:rsid w:val="00867145"/>
    <w:rsid w:val="00870789"/>
    <w:rsid w:val="00872450"/>
    <w:rsid w:val="00872E0C"/>
    <w:rsid w:val="00874FFC"/>
    <w:rsid w:val="00876C26"/>
    <w:rsid w:val="0088057C"/>
    <w:rsid w:val="00880A14"/>
    <w:rsid w:val="00880A72"/>
    <w:rsid w:val="00883151"/>
    <w:rsid w:val="00885B42"/>
    <w:rsid w:val="00890524"/>
    <w:rsid w:val="008918EF"/>
    <w:rsid w:val="00892917"/>
    <w:rsid w:val="008931E7"/>
    <w:rsid w:val="00895C56"/>
    <w:rsid w:val="00895CC7"/>
    <w:rsid w:val="008975B4"/>
    <w:rsid w:val="008A11D5"/>
    <w:rsid w:val="008A2FB1"/>
    <w:rsid w:val="008A30E7"/>
    <w:rsid w:val="008A54F2"/>
    <w:rsid w:val="008A69CC"/>
    <w:rsid w:val="008A6B0B"/>
    <w:rsid w:val="008B2E49"/>
    <w:rsid w:val="008B3A82"/>
    <w:rsid w:val="008B5CCB"/>
    <w:rsid w:val="008C0022"/>
    <w:rsid w:val="008C042F"/>
    <w:rsid w:val="008C1565"/>
    <w:rsid w:val="008C3434"/>
    <w:rsid w:val="008C57CC"/>
    <w:rsid w:val="008C64A4"/>
    <w:rsid w:val="008C6597"/>
    <w:rsid w:val="008D0CEC"/>
    <w:rsid w:val="008D1FA8"/>
    <w:rsid w:val="008D34AB"/>
    <w:rsid w:val="008D58F8"/>
    <w:rsid w:val="008D66EB"/>
    <w:rsid w:val="008E0A13"/>
    <w:rsid w:val="008E0F8E"/>
    <w:rsid w:val="008E1576"/>
    <w:rsid w:val="008F3069"/>
    <w:rsid w:val="008F4BA6"/>
    <w:rsid w:val="008F655E"/>
    <w:rsid w:val="009007FF"/>
    <w:rsid w:val="00900B89"/>
    <w:rsid w:val="0090327A"/>
    <w:rsid w:val="009041B4"/>
    <w:rsid w:val="00906035"/>
    <w:rsid w:val="009129A0"/>
    <w:rsid w:val="009133A7"/>
    <w:rsid w:val="0091584E"/>
    <w:rsid w:val="009164C2"/>
    <w:rsid w:val="009177A0"/>
    <w:rsid w:val="00917CCC"/>
    <w:rsid w:val="0092078C"/>
    <w:rsid w:val="0092239B"/>
    <w:rsid w:val="00922A33"/>
    <w:rsid w:val="00922AB0"/>
    <w:rsid w:val="00923B7A"/>
    <w:rsid w:val="0092431C"/>
    <w:rsid w:val="009257CE"/>
    <w:rsid w:val="00925A91"/>
    <w:rsid w:val="00926FE0"/>
    <w:rsid w:val="009312D1"/>
    <w:rsid w:val="009312FC"/>
    <w:rsid w:val="0093299E"/>
    <w:rsid w:val="00934249"/>
    <w:rsid w:val="00935903"/>
    <w:rsid w:val="00936640"/>
    <w:rsid w:val="00937987"/>
    <w:rsid w:val="00937D35"/>
    <w:rsid w:val="00940C10"/>
    <w:rsid w:val="00941F6F"/>
    <w:rsid w:val="009435E5"/>
    <w:rsid w:val="00955507"/>
    <w:rsid w:val="00956DD1"/>
    <w:rsid w:val="009572EB"/>
    <w:rsid w:val="0095736E"/>
    <w:rsid w:val="00957508"/>
    <w:rsid w:val="00960344"/>
    <w:rsid w:val="00961A01"/>
    <w:rsid w:val="009641BD"/>
    <w:rsid w:val="0096491E"/>
    <w:rsid w:val="009649C1"/>
    <w:rsid w:val="009678E7"/>
    <w:rsid w:val="00970652"/>
    <w:rsid w:val="00971775"/>
    <w:rsid w:val="009718C1"/>
    <w:rsid w:val="00971A68"/>
    <w:rsid w:val="00972C1A"/>
    <w:rsid w:val="00973F93"/>
    <w:rsid w:val="00973F9A"/>
    <w:rsid w:val="00974EE0"/>
    <w:rsid w:val="00976298"/>
    <w:rsid w:val="009877C8"/>
    <w:rsid w:val="009906D8"/>
    <w:rsid w:val="009917C0"/>
    <w:rsid w:val="009944A9"/>
    <w:rsid w:val="009946B7"/>
    <w:rsid w:val="0099480A"/>
    <w:rsid w:val="00996342"/>
    <w:rsid w:val="00997C3C"/>
    <w:rsid w:val="009A0936"/>
    <w:rsid w:val="009A200F"/>
    <w:rsid w:val="009A2C43"/>
    <w:rsid w:val="009A30EC"/>
    <w:rsid w:val="009A40BB"/>
    <w:rsid w:val="009A4CA6"/>
    <w:rsid w:val="009A61F5"/>
    <w:rsid w:val="009A75A0"/>
    <w:rsid w:val="009B27EA"/>
    <w:rsid w:val="009B48C9"/>
    <w:rsid w:val="009B4E48"/>
    <w:rsid w:val="009B4F24"/>
    <w:rsid w:val="009B7CAC"/>
    <w:rsid w:val="009C00C1"/>
    <w:rsid w:val="009C184D"/>
    <w:rsid w:val="009C411E"/>
    <w:rsid w:val="009C72EC"/>
    <w:rsid w:val="009D2599"/>
    <w:rsid w:val="009D259B"/>
    <w:rsid w:val="009D2734"/>
    <w:rsid w:val="009D34E8"/>
    <w:rsid w:val="009D375F"/>
    <w:rsid w:val="009D4C2D"/>
    <w:rsid w:val="009D580E"/>
    <w:rsid w:val="009D6D0B"/>
    <w:rsid w:val="009E09F0"/>
    <w:rsid w:val="009E2966"/>
    <w:rsid w:val="009E68C4"/>
    <w:rsid w:val="009E78BC"/>
    <w:rsid w:val="009F180F"/>
    <w:rsid w:val="009F2F29"/>
    <w:rsid w:val="009F55E4"/>
    <w:rsid w:val="009F5A3B"/>
    <w:rsid w:val="00A039A2"/>
    <w:rsid w:val="00A04B64"/>
    <w:rsid w:val="00A054B3"/>
    <w:rsid w:val="00A05AB6"/>
    <w:rsid w:val="00A05BE5"/>
    <w:rsid w:val="00A07CD1"/>
    <w:rsid w:val="00A07F20"/>
    <w:rsid w:val="00A10BD2"/>
    <w:rsid w:val="00A12635"/>
    <w:rsid w:val="00A12722"/>
    <w:rsid w:val="00A13009"/>
    <w:rsid w:val="00A15C36"/>
    <w:rsid w:val="00A2124A"/>
    <w:rsid w:val="00A22B65"/>
    <w:rsid w:val="00A236B1"/>
    <w:rsid w:val="00A24BC0"/>
    <w:rsid w:val="00A25802"/>
    <w:rsid w:val="00A25B5B"/>
    <w:rsid w:val="00A30281"/>
    <w:rsid w:val="00A30984"/>
    <w:rsid w:val="00A31B35"/>
    <w:rsid w:val="00A32B63"/>
    <w:rsid w:val="00A33C21"/>
    <w:rsid w:val="00A34109"/>
    <w:rsid w:val="00A35A8D"/>
    <w:rsid w:val="00A3773E"/>
    <w:rsid w:val="00A37DBD"/>
    <w:rsid w:val="00A404C7"/>
    <w:rsid w:val="00A42128"/>
    <w:rsid w:val="00A43F87"/>
    <w:rsid w:val="00A44795"/>
    <w:rsid w:val="00A45455"/>
    <w:rsid w:val="00A45E1D"/>
    <w:rsid w:val="00A502D4"/>
    <w:rsid w:val="00A50F12"/>
    <w:rsid w:val="00A5328A"/>
    <w:rsid w:val="00A544AE"/>
    <w:rsid w:val="00A54D61"/>
    <w:rsid w:val="00A5514C"/>
    <w:rsid w:val="00A570F8"/>
    <w:rsid w:val="00A6431B"/>
    <w:rsid w:val="00A6571A"/>
    <w:rsid w:val="00A7027E"/>
    <w:rsid w:val="00A71665"/>
    <w:rsid w:val="00A73456"/>
    <w:rsid w:val="00A7475D"/>
    <w:rsid w:val="00A7494F"/>
    <w:rsid w:val="00A77945"/>
    <w:rsid w:val="00A77C71"/>
    <w:rsid w:val="00A77FE7"/>
    <w:rsid w:val="00A81EA2"/>
    <w:rsid w:val="00A82871"/>
    <w:rsid w:val="00A82FB6"/>
    <w:rsid w:val="00A842DE"/>
    <w:rsid w:val="00A8448F"/>
    <w:rsid w:val="00A853BA"/>
    <w:rsid w:val="00A85F33"/>
    <w:rsid w:val="00A86961"/>
    <w:rsid w:val="00A87610"/>
    <w:rsid w:val="00A9133E"/>
    <w:rsid w:val="00A93DC4"/>
    <w:rsid w:val="00A95340"/>
    <w:rsid w:val="00A95EEC"/>
    <w:rsid w:val="00A963D2"/>
    <w:rsid w:val="00AA02E1"/>
    <w:rsid w:val="00AA076D"/>
    <w:rsid w:val="00AA66AD"/>
    <w:rsid w:val="00AB3533"/>
    <w:rsid w:val="00AB53C6"/>
    <w:rsid w:val="00AB7827"/>
    <w:rsid w:val="00AC0E48"/>
    <w:rsid w:val="00AC5DD5"/>
    <w:rsid w:val="00AC6DD3"/>
    <w:rsid w:val="00AD0290"/>
    <w:rsid w:val="00AD0A3F"/>
    <w:rsid w:val="00AD2251"/>
    <w:rsid w:val="00AD396B"/>
    <w:rsid w:val="00AD3A5D"/>
    <w:rsid w:val="00AD7910"/>
    <w:rsid w:val="00AE071E"/>
    <w:rsid w:val="00AE22E3"/>
    <w:rsid w:val="00AE2997"/>
    <w:rsid w:val="00AE3E59"/>
    <w:rsid w:val="00AE4315"/>
    <w:rsid w:val="00AE49A2"/>
    <w:rsid w:val="00AE5C92"/>
    <w:rsid w:val="00AE6CD8"/>
    <w:rsid w:val="00AE6D8B"/>
    <w:rsid w:val="00AF0DCC"/>
    <w:rsid w:val="00AF1400"/>
    <w:rsid w:val="00AF20A1"/>
    <w:rsid w:val="00AF34AC"/>
    <w:rsid w:val="00AF3C9F"/>
    <w:rsid w:val="00AF4281"/>
    <w:rsid w:val="00AF50FF"/>
    <w:rsid w:val="00AF593E"/>
    <w:rsid w:val="00AF6961"/>
    <w:rsid w:val="00B015BE"/>
    <w:rsid w:val="00B01B67"/>
    <w:rsid w:val="00B021F3"/>
    <w:rsid w:val="00B055CC"/>
    <w:rsid w:val="00B05980"/>
    <w:rsid w:val="00B11DB4"/>
    <w:rsid w:val="00B20854"/>
    <w:rsid w:val="00B20F2E"/>
    <w:rsid w:val="00B223A2"/>
    <w:rsid w:val="00B27A9D"/>
    <w:rsid w:val="00B27E0E"/>
    <w:rsid w:val="00B30D7C"/>
    <w:rsid w:val="00B32362"/>
    <w:rsid w:val="00B32A31"/>
    <w:rsid w:val="00B362B2"/>
    <w:rsid w:val="00B3689E"/>
    <w:rsid w:val="00B40410"/>
    <w:rsid w:val="00B427D5"/>
    <w:rsid w:val="00B428C7"/>
    <w:rsid w:val="00B42BC9"/>
    <w:rsid w:val="00B52B89"/>
    <w:rsid w:val="00B556D0"/>
    <w:rsid w:val="00B55A99"/>
    <w:rsid w:val="00B601E6"/>
    <w:rsid w:val="00B60933"/>
    <w:rsid w:val="00B60961"/>
    <w:rsid w:val="00B61346"/>
    <w:rsid w:val="00B61F07"/>
    <w:rsid w:val="00B62C0D"/>
    <w:rsid w:val="00B643FC"/>
    <w:rsid w:val="00B64AC0"/>
    <w:rsid w:val="00B64FEC"/>
    <w:rsid w:val="00B65426"/>
    <w:rsid w:val="00B66626"/>
    <w:rsid w:val="00B705F4"/>
    <w:rsid w:val="00B720E5"/>
    <w:rsid w:val="00B722AC"/>
    <w:rsid w:val="00B76039"/>
    <w:rsid w:val="00B774A4"/>
    <w:rsid w:val="00B8032C"/>
    <w:rsid w:val="00B83A91"/>
    <w:rsid w:val="00B84E15"/>
    <w:rsid w:val="00B85E2A"/>
    <w:rsid w:val="00B86AB3"/>
    <w:rsid w:val="00B87114"/>
    <w:rsid w:val="00B876A4"/>
    <w:rsid w:val="00B94F37"/>
    <w:rsid w:val="00B960E3"/>
    <w:rsid w:val="00B96277"/>
    <w:rsid w:val="00B97526"/>
    <w:rsid w:val="00BA2BA9"/>
    <w:rsid w:val="00BA3C30"/>
    <w:rsid w:val="00BA60D7"/>
    <w:rsid w:val="00BA702B"/>
    <w:rsid w:val="00BB0607"/>
    <w:rsid w:val="00BB0F35"/>
    <w:rsid w:val="00BB1D1E"/>
    <w:rsid w:val="00BB2020"/>
    <w:rsid w:val="00BC0442"/>
    <w:rsid w:val="00BC16E1"/>
    <w:rsid w:val="00BC1AA0"/>
    <w:rsid w:val="00BC23FD"/>
    <w:rsid w:val="00BC7B7A"/>
    <w:rsid w:val="00BD0CAD"/>
    <w:rsid w:val="00BD2A1C"/>
    <w:rsid w:val="00BD2DB5"/>
    <w:rsid w:val="00BD50A1"/>
    <w:rsid w:val="00BE1190"/>
    <w:rsid w:val="00BE23E9"/>
    <w:rsid w:val="00BE2403"/>
    <w:rsid w:val="00BE35B4"/>
    <w:rsid w:val="00BE4201"/>
    <w:rsid w:val="00BE45B1"/>
    <w:rsid w:val="00BE4C9B"/>
    <w:rsid w:val="00BE5937"/>
    <w:rsid w:val="00BF4273"/>
    <w:rsid w:val="00BF66EF"/>
    <w:rsid w:val="00BF7059"/>
    <w:rsid w:val="00BF7CE9"/>
    <w:rsid w:val="00C0098B"/>
    <w:rsid w:val="00C02161"/>
    <w:rsid w:val="00C03BCC"/>
    <w:rsid w:val="00C03C10"/>
    <w:rsid w:val="00C05A3B"/>
    <w:rsid w:val="00C10E30"/>
    <w:rsid w:val="00C17568"/>
    <w:rsid w:val="00C20808"/>
    <w:rsid w:val="00C2149D"/>
    <w:rsid w:val="00C322DD"/>
    <w:rsid w:val="00C342B4"/>
    <w:rsid w:val="00C351B1"/>
    <w:rsid w:val="00C3769C"/>
    <w:rsid w:val="00C37FBF"/>
    <w:rsid w:val="00C423B5"/>
    <w:rsid w:val="00C503ED"/>
    <w:rsid w:val="00C5144D"/>
    <w:rsid w:val="00C51579"/>
    <w:rsid w:val="00C521BB"/>
    <w:rsid w:val="00C525BB"/>
    <w:rsid w:val="00C53532"/>
    <w:rsid w:val="00C55365"/>
    <w:rsid w:val="00C556A2"/>
    <w:rsid w:val="00C5783D"/>
    <w:rsid w:val="00C62A1E"/>
    <w:rsid w:val="00C6402F"/>
    <w:rsid w:val="00C640DF"/>
    <w:rsid w:val="00C644D4"/>
    <w:rsid w:val="00C647FC"/>
    <w:rsid w:val="00C65762"/>
    <w:rsid w:val="00C71380"/>
    <w:rsid w:val="00C719BC"/>
    <w:rsid w:val="00C74C38"/>
    <w:rsid w:val="00C7588D"/>
    <w:rsid w:val="00C8005C"/>
    <w:rsid w:val="00C81A6F"/>
    <w:rsid w:val="00C8532E"/>
    <w:rsid w:val="00C86D70"/>
    <w:rsid w:val="00C87402"/>
    <w:rsid w:val="00C87A05"/>
    <w:rsid w:val="00C92793"/>
    <w:rsid w:val="00C92FB5"/>
    <w:rsid w:val="00C9319D"/>
    <w:rsid w:val="00C93CF9"/>
    <w:rsid w:val="00C94915"/>
    <w:rsid w:val="00C9501E"/>
    <w:rsid w:val="00C95BF4"/>
    <w:rsid w:val="00C9607B"/>
    <w:rsid w:val="00CA01F3"/>
    <w:rsid w:val="00CA081A"/>
    <w:rsid w:val="00CA1151"/>
    <w:rsid w:val="00CA13FC"/>
    <w:rsid w:val="00CA1C60"/>
    <w:rsid w:val="00CA2172"/>
    <w:rsid w:val="00CA22FE"/>
    <w:rsid w:val="00CA291B"/>
    <w:rsid w:val="00CA3112"/>
    <w:rsid w:val="00CA35E0"/>
    <w:rsid w:val="00CA371E"/>
    <w:rsid w:val="00CA3BF6"/>
    <w:rsid w:val="00CA3F77"/>
    <w:rsid w:val="00CA5B11"/>
    <w:rsid w:val="00CA6D31"/>
    <w:rsid w:val="00CA74FB"/>
    <w:rsid w:val="00CB038A"/>
    <w:rsid w:val="00CB276C"/>
    <w:rsid w:val="00CB54C0"/>
    <w:rsid w:val="00CC02CF"/>
    <w:rsid w:val="00CC2074"/>
    <w:rsid w:val="00CC61DF"/>
    <w:rsid w:val="00CC634A"/>
    <w:rsid w:val="00CD0A06"/>
    <w:rsid w:val="00CD4C95"/>
    <w:rsid w:val="00CD5E3B"/>
    <w:rsid w:val="00CD709D"/>
    <w:rsid w:val="00CD79FE"/>
    <w:rsid w:val="00CE0687"/>
    <w:rsid w:val="00CE1730"/>
    <w:rsid w:val="00CE1BE6"/>
    <w:rsid w:val="00CE3636"/>
    <w:rsid w:val="00CE4681"/>
    <w:rsid w:val="00CE5459"/>
    <w:rsid w:val="00CE5EAB"/>
    <w:rsid w:val="00CE78AF"/>
    <w:rsid w:val="00CF0027"/>
    <w:rsid w:val="00CF0A04"/>
    <w:rsid w:val="00CF0B2E"/>
    <w:rsid w:val="00CF1A57"/>
    <w:rsid w:val="00CF1F3E"/>
    <w:rsid w:val="00CF5BA8"/>
    <w:rsid w:val="00CF6C3A"/>
    <w:rsid w:val="00CF7067"/>
    <w:rsid w:val="00CF7A05"/>
    <w:rsid w:val="00D00A6F"/>
    <w:rsid w:val="00D02B74"/>
    <w:rsid w:val="00D02EC2"/>
    <w:rsid w:val="00D02FD6"/>
    <w:rsid w:val="00D0618D"/>
    <w:rsid w:val="00D06AD2"/>
    <w:rsid w:val="00D06CBC"/>
    <w:rsid w:val="00D11ECD"/>
    <w:rsid w:val="00D12DA3"/>
    <w:rsid w:val="00D13063"/>
    <w:rsid w:val="00D1530B"/>
    <w:rsid w:val="00D157EA"/>
    <w:rsid w:val="00D16051"/>
    <w:rsid w:val="00D178BE"/>
    <w:rsid w:val="00D2064D"/>
    <w:rsid w:val="00D211E7"/>
    <w:rsid w:val="00D2233E"/>
    <w:rsid w:val="00D24442"/>
    <w:rsid w:val="00D24A17"/>
    <w:rsid w:val="00D25FCC"/>
    <w:rsid w:val="00D265FD"/>
    <w:rsid w:val="00D265FF"/>
    <w:rsid w:val="00D32AD4"/>
    <w:rsid w:val="00D32E28"/>
    <w:rsid w:val="00D33783"/>
    <w:rsid w:val="00D3383A"/>
    <w:rsid w:val="00D3418A"/>
    <w:rsid w:val="00D34878"/>
    <w:rsid w:val="00D35381"/>
    <w:rsid w:val="00D354A7"/>
    <w:rsid w:val="00D35ED6"/>
    <w:rsid w:val="00D3702E"/>
    <w:rsid w:val="00D41D63"/>
    <w:rsid w:val="00D43FC5"/>
    <w:rsid w:val="00D4489E"/>
    <w:rsid w:val="00D455EA"/>
    <w:rsid w:val="00D46D8A"/>
    <w:rsid w:val="00D5114F"/>
    <w:rsid w:val="00D5122E"/>
    <w:rsid w:val="00D51A0D"/>
    <w:rsid w:val="00D53519"/>
    <w:rsid w:val="00D5429A"/>
    <w:rsid w:val="00D5459B"/>
    <w:rsid w:val="00D54742"/>
    <w:rsid w:val="00D562FA"/>
    <w:rsid w:val="00D57290"/>
    <w:rsid w:val="00D604EF"/>
    <w:rsid w:val="00D606F5"/>
    <w:rsid w:val="00D62E0E"/>
    <w:rsid w:val="00D65BC3"/>
    <w:rsid w:val="00D65FD8"/>
    <w:rsid w:val="00D66679"/>
    <w:rsid w:val="00D71087"/>
    <w:rsid w:val="00D723F5"/>
    <w:rsid w:val="00D727DC"/>
    <w:rsid w:val="00D73588"/>
    <w:rsid w:val="00D73B98"/>
    <w:rsid w:val="00D749AF"/>
    <w:rsid w:val="00D755D7"/>
    <w:rsid w:val="00D76F9D"/>
    <w:rsid w:val="00D81CDA"/>
    <w:rsid w:val="00D82DEB"/>
    <w:rsid w:val="00D870AF"/>
    <w:rsid w:val="00D87707"/>
    <w:rsid w:val="00D901F2"/>
    <w:rsid w:val="00D90AF7"/>
    <w:rsid w:val="00D9299F"/>
    <w:rsid w:val="00D92DDB"/>
    <w:rsid w:val="00D934DC"/>
    <w:rsid w:val="00D943B7"/>
    <w:rsid w:val="00D9552F"/>
    <w:rsid w:val="00D95760"/>
    <w:rsid w:val="00DA33C3"/>
    <w:rsid w:val="00DA3E8D"/>
    <w:rsid w:val="00DA4540"/>
    <w:rsid w:val="00DA4E63"/>
    <w:rsid w:val="00DA71A2"/>
    <w:rsid w:val="00DA761F"/>
    <w:rsid w:val="00DA76BF"/>
    <w:rsid w:val="00DA786E"/>
    <w:rsid w:val="00DB3B90"/>
    <w:rsid w:val="00DB401D"/>
    <w:rsid w:val="00DB4E65"/>
    <w:rsid w:val="00DB5F07"/>
    <w:rsid w:val="00DC07CB"/>
    <w:rsid w:val="00DC199F"/>
    <w:rsid w:val="00DC1F4D"/>
    <w:rsid w:val="00DC2E08"/>
    <w:rsid w:val="00DC3222"/>
    <w:rsid w:val="00DC4540"/>
    <w:rsid w:val="00DC45E0"/>
    <w:rsid w:val="00DC4D3A"/>
    <w:rsid w:val="00DC5500"/>
    <w:rsid w:val="00DC6773"/>
    <w:rsid w:val="00DD0522"/>
    <w:rsid w:val="00DD470E"/>
    <w:rsid w:val="00DD4C77"/>
    <w:rsid w:val="00DD6120"/>
    <w:rsid w:val="00DD74FA"/>
    <w:rsid w:val="00DD7D43"/>
    <w:rsid w:val="00DE0C94"/>
    <w:rsid w:val="00DE12B5"/>
    <w:rsid w:val="00DE2D9D"/>
    <w:rsid w:val="00DE443D"/>
    <w:rsid w:val="00DE4AC9"/>
    <w:rsid w:val="00DE79AE"/>
    <w:rsid w:val="00DF0AC6"/>
    <w:rsid w:val="00DF0DC4"/>
    <w:rsid w:val="00DF454B"/>
    <w:rsid w:val="00E0028F"/>
    <w:rsid w:val="00E036D0"/>
    <w:rsid w:val="00E03D93"/>
    <w:rsid w:val="00E04207"/>
    <w:rsid w:val="00E048D4"/>
    <w:rsid w:val="00E04A96"/>
    <w:rsid w:val="00E051A2"/>
    <w:rsid w:val="00E0533A"/>
    <w:rsid w:val="00E054FB"/>
    <w:rsid w:val="00E05FF2"/>
    <w:rsid w:val="00E06183"/>
    <w:rsid w:val="00E10346"/>
    <w:rsid w:val="00E104A9"/>
    <w:rsid w:val="00E10606"/>
    <w:rsid w:val="00E10833"/>
    <w:rsid w:val="00E117B8"/>
    <w:rsid w:val="00E1565B"/>
    <w:rsid w:val="00E1742B"/>
    <w:rsid w:val="00E177C7"/>
    <w:rsid w:val="00E20495"/>
    <w:rsid w:val="00E21D69"/>
    <w:rsid w:val="00E22600"/>
    <w:rsid w:val="00E238E3"/>
    <w:rsid w:val="00E23E0E"/>
    <w:rsid w:val="00E241B3"/>
    <w:rsid w:val="00E2568A"/>
    <w:rsid w:val="00E27500"/>
    <w:rsid w:val="00E30826"/>
    <w:rsid w:val="00E30D58"/>
    <w:rsid w:val="00E33AB0"/>
    <w:rsid w:val="00E3458D"/>
    <w:rsid w:val="00E35342"/>
    <w:rsid w:val="00E419C8"/>
    <w:rsid w:val="00E426B9"/>
    <w:rsid w:val="00E435C3"/>
    <w:rsid w:val="00E44EF6"/>
    <w:rsid w:val="00E46771"/>
    <w:rsid w:val="00E5145C"/>
    <w:rsid w:val="00E51E2F"/>
    <w:rsid w:val="00E5350F"/>
    <w:rsid w:val="00E54056"/>
    <w:rsid w:val="00E56415"/>
    <w:rsid w:val="00E56B2E"/>
    <w:rsid w:val="00E648D1"/>
    <w:rsid w:val="00E70ADB"/>
    <w:rsid w:val="00E71125"/>
    <w:rsid w:val="00E720F4"/>
    <w:rsid w:val="00E72ECE"/>
    <w:rsid w:val="00E76DA2"/>
    <w:rsid w:val="00E80781"/>
    <w:rsid w:val="00E81880"/>
    <w:rsid w:val="00E81C59"/>
    <w:rsid w:val="00E82DB1"/>
    <w:rsid w:val="00E86285"/>
    <w:rsid w:val="00E86832"/>
    <w:rsid w:val="00E87D29"/>
    <w:rsid w:val="00E90CFD"/>
    <w:rsid w:val="00E91EBF"/>
    <w:rsid w:val="00E9287C"/>
    <w:rsid w:val="00E93B69"/>
    <w:rsid w:val="00E9487C"/>
    <w:rsid w:val="00E957B9"/>
    <w:rsid w:val="00E96835"/>
    <w:rsid w:val="00E9762F"/>
    <w:rsid w:val="00E97764"/>
    <w:rsid w:val="00EA0472"/>
    <w:rsid w:val="00EA18D7"/>
    <w:rsid w:val="00EA4C53"/>
    <w:rsid w:val="00EA53D6"/>
    <w:rsid w:val="00EA604B"/>
    <w:rsid w:val="00EA6DD5"/>
    <w:rsid w:val="00EA7D69"/>
    <w:rsid w:val="00EB1963"/>
    <w:rsid w:val="00EB3CC4"/>
    <w:rsid w:val="00EB4835"/>
    <w:rsid w:val="00EB4D6B"/>
    <w:rsid w:val="00EB56C5"/>
    <w:rsid w:val="00EB5AD4"/>
    <w:rsid w:val="00EB60B6"/>
    <w:rsid w:val="00EC2619"/>
    <w:rsid w:val="00EC2B6B"/>
    <w:rsid w:val="00EC4DD7"/>
    <w:rsid w:val="00EC60A5"/>
    <w:rsid w:val="00EC72CC"/>
    <w:rsid w:val="00ED4431"/>
    <w:rsid w:val="00ED50C0"/>
    <w:rsid w:val="00ED698D"/>
    <w:rsid w:val="00ED7EC0"/>
    <w:rsid w:val="00ED7F30"/>
    <w:rsid w:val="00ED7F38"/>
    <w:rsid w:val="00EE0494"/>
    <w:rsid w:val="00EE2591"/>
    <w:rsid w:val="00EE426D"/>
    <w:rsid w:val="00EE479A"/>
    <w:rsid w:val="00EE5C3E"/>
    <w:rsid w:val="00EE73B8"/>
    <w:rsid w:val="00EF186F"/>
    <w:rsid w:val="00EF6F35"/>
    <w:rsid w:val="00F00BAE"/>
    <w:rsid w:val="00F02434"/>
    <w:rsid w:val="00F03B67"/>
    <w:rsid w:val="00F04581"/>
    <w:rsid w:val="00F05250"/>
    <w:rsid w:val="00F0543D"/>
    <w:rsid w:val="00F05A60"/>
    <w:rsid w:val="00F111D2"/>
    <w:rsid w:val="00F12531"/>
    <w:rsid w:val="00F16614"/>
    <w:rsid w:val="00F16CB9"/>
    <w:rsid w:val="00F221C0"/>
    <w:rsid w:val="00F22C02"/>
    <w:rsid w:val="00F25971"/>
    <w:rsid w:val="00F266F2"/>
    <w:rsid w:val="00F306A1"/>
    <w:rsid w:val="00F33A8A"/>
    <w:rsid w:val="00F44D59"/>
    <w:rsid w:val="00F5025A"/>
    <w:rsid w:val="00F50BAE"/>
    <w:rsid w:val="00F52448"/>
    <w:rsid w:val="00F528DE"/>
    <w:rsid w:val="00F53BD2"/>
    <w:rsid w:val="00F548F4"/>
    <w:rsid w:val="00F54A3E"/>
    <w:rsid w:val="00F561FF"/>
    <w:rsid w:val="00F569C2"/>
    <w:rsid w:val="00F57033"/>
    <w:rsid w:val="00F60949"/>
    <w:rsid w:val="00F61C82"/>
    <w:rsid w:val="00F627EC"/>
    <w:rsid w:val="00F62820"/>
    <w:rsid w:val="00F636CF"/>
    <w:rsid w:val="00F73347"/>
    <w:rsid w:val="00F7340F"/>
    <w:rsid w:val="00F7428B"/>
    <w:rsid w:val="00F761C9"/>
    <w:rsid w:val="00F7637A"/>
    <w:rsid w:val="00F77E5C"/>
    <w:rsid w:val="00F809BD"/>
    <w:rsid w:val="00F8460D"/>
    <w:rsid w:val="00F86366"/>
    <w:rsid w:val="00F863B1"/>
    <w:rsid w:val="00F92B28"/>
    <w:rsid w:val="00F93DBF"/>
    <w:rsid w:val="00F96603"/>
    <w:rsid w:val="00F966E6"/>
    <w:rsid w:val="00F96A4E"/>
    <w:rsid w:val="00FA03CF"/>
    <w:rsid w:val="00FA05AF"/>
    <w:rsid w:val="00FA2D0C"/>
    <w:rsid w:val="00FA3574"/>
    <w:rsid w:val="00FA4AC1"/>
    <w:rsid w:val="00FA4BB9"/>
    <w:rsid w:val="00FA5173"/>
    <w:rsid w:val="00FA5748"/>
    <w:rsid w:val="00FA6921"/>
    <w:rsid w:val="00FA752F"/>
    <w:rsid w:val="00FA75A6"/>
    <w:rsid w:val="00FB0A04"/>
    <w:rsid w:val="00FB3611"/>
    <w:rsid w:val="00FB46E0"/>
    <w:rsid w:val="00FB7E3E"/>
    <w:rsid w:val="00FC1221"/>
    <w:rsid w:val="00FC4200"/>
    <w:rsid w:val="00FD0763"/>
    <w:rsid w:val="00FD2010"/>
    <w:rsid w:val="00FD2F1C"/>
    <w:rsid w:val="00FD3BD9"/>
    <w:rsid w:val="00FD59EA"/>
    <w:rsid w:val="00FD5EE5"/>
    <w:rsid w:val="00FE129B"/>
    <w:rsid w:val="00FE1613"/>
    <w:rsid w:val="00FE5F6C"/>
    <w:rsid w:val="00FE6243"/>
    <w:rsid w:val="00FF2767"/>
    <w:rsid w:val="00FF6CE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D8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813"/>
    <w:pPr>
      <w:spacing w:after="80" w:line="240" w:lineRule="auto"/>
      <w:jc w:val="both"/>
    </w:pPr>
  </w:style>
  <w:style w:type="paragraph" w:styleId="Kop1">
    <w:name w:val="heading 1"/>
    <w:aliases w:val="H1"/>
    <w:basedOn w:val="Standaard"/>
    <w:next w:val="Standaard"/>
    <w:link w:val="Kop1Char"/>
    <w:qFormat/>
    <w:rsid w:val="004920C6"/>
    <w:pPr>
      <w:keepNext/>
      <w:keepLines/>
      <w:pageBreakBefore/>
      <w:numPr>
        <w:numId w:val="5"/>
      </w:numPr>
      <w:pBdr>
        <w:bottom w:val="single" w:sz="4" w:space="1" w:color="0070C0"/>
      </w:pBdr>
      <w:tabs>
        <w:tab w:val="clear" w:pos="1425"/>
        <w:tab w:val="num" w:pos="792"/>
      </w:tabs>
      <w:spacing w:before="120" w:after="100" w:afterAutospacing="1"/>
      <w:ind w:left="431" w:hanging="431"/>
      <w:outlineLvl w:val="0"/>
    </w:pPr>
    <w:rPr>
      <w:rFonts w:ascii="Century Gothic" w:eastAsiaTheme="majorEastAsia" w:hAnsi="Century Gothic" w:cstheme="majorBidi"/>
      <w:bCs/>
      <w:color w:val="0066A1"/>
      <w:sz w:val="36"/>
      <w:szCs w:val="36"/>
      <w:lang w:val="en-US"/>
    </w:rPr>
  </w:style>
  <w:style w:type="paragraph" w:styleId="Kop2">
    <w:name w:val="heading 2"/>
    <w:aliases w:val="H2"/>
    <w:basedOn w:val="Standaard"/>
    <w:next w:val="Standaard"/>
    <w:link w:val="Kop2Char"/>
    <w:unhideWhenUsed/>
    <w:qFormat/>
    <w:rsid w:val="00197119"/>
    <w:pPr>
      <w:keepNext/>
      <w:keepLines/>
      <w:numPr>
        <w:ilvl w:val="1"/>
        <w:numId w:val="5"/>
      </w:numPr>
      <w:pBdr>
        <w:bottom w:val="double" w:sz="6" w:space="1" w:color="0070C0"/>
      </w:pBdr>
      <w:tabs>
        <w:tab w:val="left" w:pos="851"/>
      </w:tabs>
      <w:spacing w:before="200" w:after="120"/>
      <w:ind w:left="578" w:hanging="578"/>
      <w:outlineLvl w:val="1"/>
    </w:pPr>
    <w:rPr>
      <w:rFonts w:eastAsiaTheme="majorEastAsia" w:cstheme="majorBidi"/>
      <w:bCs/>
      <w:color w:val="0066A1"/>
      <w:sz w:val="28"/>
      <w:szCs w:val="26"/>
      <w:lang w:val="en-US"/>
    </w:rPr>
  </w:style>
  <w:style w:type="paragraph" w:styleId="Kop3">
    <w:name w:val="heading 3"/>
    <w:aliases w:val="H3"/>
    <w:basedOn w:val="Kop2"/>
    <w:next w:val="Standaard"/>
    <w:link w:val="Kop3Char"/>
    <w:unhideWhenUsed/>
    <w:qFormat/>
    <w:rsid w:val="00AA66AD"/>
    <w:pPr>
      <w:numPr>
        <w:ilvl w:val="2"/>
      </w:numPr>
      <w:pBdr>
        <w:bottom w:val="none" w:sz="0" w:space="0" w:color="auto"/>
      </w:pBdr>
      <w:tabs>
        <w:tab w:val="clear" w:pos="2279"/>
        <w:tab w:val="num" w:pos="1080"/>
      </w:tabs>
      <w:spacing w:after="60"/>
      <w:ind w:left="720"/>
      <w:outlineLvl w:val="2"/>
    </w:pPr>
    <w:rPr>
      <w:bCs w:val="0"/>
      <w:sz w:val="24"/>
    </w:rPr>
  </w:style>
  <w:style w:type="paragraph" w:styleId="Kop4">
    <w:name w:val="heading 4"/>
    <w:aliases w:val="H4"/>
    <w:basedOn w:val="Kop3"/>
    <w:next w:val="Standaard"/>
    <w:link w:val="Kop4Char"/>
    <w:unhideWhenUsed/>
    <w:qFormat/>
    <w:rsid w:val="002F6FA4"/>
    <w:pPr>
      <w:numPr>
        <w:ilvl w:val="3"/>
      </w:numPr>
      <w:outlineLvl w:val="3"/>
    </w:pPr>
    <w:rPr>
      <w:bCs/>
      <w:iCs/>
      <w:sz w:val="22"/>
      <w:szCs w:val="22"/>
    </w:rPr>
  </w:style>
  <w:style w:type="paragraph" w:styleId="Kop5">
    <w:name w:val="heading 5"/>
    <w:basedOn w:val="Standaard"/>
    <w:next w:val="Standaard"/>
    <w:link w:val="Kop5Char"/>
    <w:unhideWhenUsed/>
    <w:rsid w:val="00435004"/>
    <w:pPr>
      <w:keepNext/>
      <w:keepLines/>
      <w:numPr>
        <w:ilvl w:val="4"/>
        <w:numId w:val="5"/>
      </w:numPr>
      <w:tabs>
        <w:tab w:val="clear" w:pos="1368"/>
        <w:tab w:val="num" w:pos="952"/>
      </w:tabs>
      <w:spacing w:before="200" w:after="0"/>
      <w:ind w:left="966" w:hanging="966"/>
      <w:outlineLvl w:val="4"/>
    </w:pPr>
    <w:rPr>
      <w:rFonts w:eastAsiaTheme="majorEastAsia" w:cstheme="majorBidi"/>
      <w:color w:val="0066A1"/>
      <w:lang w:val="en-US"/>
    </w:rPr>
  </w:style>
  <w:style w:type="paragraph" w:styleId="Kop6">
    <w:name w:val="heading 6"/>
    <w:basedOn w:val="Standaard"/>
    <w:next w:val="Standaard"/>
    <w:link w:val="Kop6Char"/>
    <w:unhideWhenUsed/>
    <w:rsid w:val="00114C1B"/>
    <w:pPr>
      <w:keepNext/>
      <w:keepLines/>
      <w:numPr>
        <w:ilvl w:val="5"/>
        <w:numId w:val="5"/>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unhideWhenUsed/>
    <w:rsid w:val="00114C1B"/>
    <w:pPr>
      <w:keepNext/>
      <w:keepLines/>
      <w:numPr>
        <w:ilvl w:val="6"/>
        <w:numId w:val="5"/>
      </w:numPr>
      <w:spacing w:before="200" w:after="0"/>
      <w:outlineLvl w:val="6"/>
    </w:pPr>
    <w:rPr>
      <w:rFonts w:eastAsiaTheme="majorEastAsia" w:cstheme="majorBidi"/>
      <w:i/>
      <w:iCs/>
      <w:color w:val="9C4797" w:themeColor="text1" w:themeTint="BF"/>
    </w:rPr>
  </w:style>
  <w:style w:type="paragraph" w:styleId="Kop8">
    <w:name w:val="heading 8"/>
    <w:basedOn w:val="Standaard"/>
    <w:next w:val="Standaard"/>
    <w:link w:val="Kop8Char"/>
    <w:unhideWhenUsed/>
    <w:rsid w:val="0069165F"/>
    <w:pPr>
      <w:keepNext/>
      <w:keepLines/>
      <w:numPr>
        <w:ilvl w:val="7"/>
        <w:numId w:val="5"/>
      </w:numPr>
      <w:spacing w:before="200" w:after="0"/>
      <w:outlineLvl w:val="7"/>
    </w:pPr>
    <w:rPr>
      <w:rFonts w:asciiTheme="majorHAnsi" w:eastAsiaTheme="majorEastAsia" w:hAnsiTheme="majorHAnsi" w:cstheme="majorBidi"/>
      <w:color w:val="9C4797" w:themeColor="text1" w:themeTint="BF"/>
      <w:szCs w:val="20"/>
    </w:rPr>
  </w:style>
  <w:style w:type="paragraph" w:styleId="Kop9">
    <w:name w:val="heading 9"/>
    <w:basedOn w:val="Standaard"/>
    <w:next w:val="Standaard"/>
    <w:link w:val="Kop9Char"/>
    <w:unhideWhenUsed/>
    <w:rsid w:val="0069165F"/>
    <w:pPr>
      <w:keepNext/>
      <w:keepLines/>
      <w:numPr>
        <w:ilvl w:val="8"/>
        <w:numId w:val="5"/>
      </w:numPr>
      <w:spacing w:before="200" w:after="0"/>
      <w:outlineLvl w:val="8"/>
    </w:pPr>
    <w:rPr>
      <w:rFonts w:asciiTheme="majorHAnsi" w:eastAsiaTheme="majorEastAsia" w:hAnsiTheme="majorHAnsi" w:cstheme="majorBidi"/>
      <w:i/>
      <w:iCs/>
      <w:color w:val="9C4797"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rsid w:val="004920C6"/>
    <w:rPr>
      <w:rFonts w:ascii="Century Gothic" w:eastAsiaTheme="majorEastAsia" w:hAnsi="Century Gothic" w:cstheme="majorBidi"/>
      <w:bCs/>
      <w:color w:val="0066A1"/>
      <w:sz w:val="36"/>
      <w:szCs w:val="36"/>
      <w:lang w:val="en-US"/>
    </w:rPr>
  </w:style>
  <w:style w:type="character" w:customStyle="1" w:styleId="Kop2Char">
    <w:name w:val="Kop 2 Char"/>
    <w:aliases w:val="H2 Char"/>
    <w:basedOn w:val="Standaardalinea-lettertype"/>
    <w:link w:val="Kop2"/>
    <w:rsid w:val="00197119"/>
    <w:rPr>
      <w:rFonts w:ascii="Times New Roman" w:eastAsiaTheme="majorEastAsia" w:hAnsi="Times New Roman" w:cstheme="majorBidi"/>
      <w:bCs/>
      <w:color w:val="0066A1"/>
      <w:sz w:val="28"/>
      <w:szCs w:val="26"/>
      <w:lang w:val="en-US"/>
    </w:rPr>
  </w:style>
  <w:style w:type="character" w:customStyle="1" w:styleId="Kop3Char">
    <w:name w:val="Kop 3 Char"/>
    <w:aliases w:val="H3 Char"/>
    <w:basedOn w:val="Standaardalinea-lettertype"/>
    <w:link w:val="Kop3"/>
    <w:rsid w:val="00AA66AD"/>
    <w:rPr>
      <w:rFonts w:ascii="Times New Roman" w:eastAsiaTheme="majorEastAsia" w:hAnsi="Times New Roman" w:cstheme="majorBidi"/>
      <w:color w:val="0066A1"/>
      <w:sz w:val="24"/>
      <w:szCs w:val="26"/>
      <w:lang w:val="en-US"/>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H4 Char"/>
    <w:basedOn w:val="Standaardalinea-lettertype"/>
    <w:link w:val="Kop4"/>
    <w:rsid w:val="002F6FA4"/>
    <w:rPr>
      <w:rFonts w:ascii="Times New Roman" w:eastAsiaTheme="majorEastAsia" w:hAnsi="Times New Roman" w:cstheme="majorBidi"/>
      <w:bCs/>
      <w:iCs/>
      <w:color w:val="0066A1"/>
      <w:lang w:val="en-US"/>
    </w:rPr>
  </w:style>
  <w:style w:type="character" w:customStyle="1" w:styleId="Kop5Char">
    <w:name w:val="Kop 5 Char"/>
    <w:basedOn w:val="Standaardalinea-lettertype"/>
    <w:link w:val="Kop5"/>
    <w:rsid w:val="00435004"/>
    <w:rPr>
      <w:rFonts w:ascii="Times New Roman" w:eastAsiaTheme="majorEastAsia" w:hAnsi="Times New Roman" w:cstheme="majorBidi"/>
      <w:color w:val="0066A1"/>
      <w:lang w:val="en-US"/>
    </w:rPr>
  </w:style>
  <w:style w:type="character" w:customStyle="1" w:styleId="Kop6Char">
    <w:name w:val="Kop 6 Char"/>
    <w:basedOn w:val="Standaardalinea-lettertype"/>
    <w:link w:val="Kop6"/>
    <w:rsid w:val="00114C1B"/>
    <w:rPr>
      <w:rFonts w:ascii="Times New Roman" w:eastAsiaTheme="majorEastAsia" w:hAnsi="Times New Roman" w:cstheme="majorBidi"/>
      <w:i/>
      <w:iCs/>
      <w:color w:val="A48123" w:themeColor="accent1" w:themeShade="7F"/>
      <w:lang w:val="en-GB"/>
    </w:rPr>
  </w:style>
  <w:style w:type="character" w:customStyle="1" w:styleId="Kop7Char">
    <w:name w:val="Kop 7 Char"/>
    <w:basedOn w:val="Standaardalinea-lettertype"/>
    <w:link w:val="Kop7"/>
    <w:rsid w:val="00114C1B"/>
    <w:rPr>
      <w:rFonts w:ascii="Times New Roman" w:eastAsiaTheme="majorEastAsia" w:hAnsi="Times New Roman" w:cstheme="majorBidi"/>
      <w:i/>
      <w:iCs/>
      <w:color w:val="9C4797"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9C4797"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9C4797" w:themeColor="text1" w:themeTint="BF"/>
      <w:szCs w:val="20"/>
      <w:lang w:val="en-GB"/>
    </w:rPr>
  </w:style>
  <w:style w:type="paragraph" w:styleId="Titel">
    <w:name w:val="Title"/>
    <w:aliases w:val="Title 1"/>
    <w:basedOn w:val="Kop1"/>
    <w:next w:val="Standaard"/>
    <w:link w:val="TitelChar"/>
    <w:uiPriority w:val="10"/>
    <w:qFormat/>
    <w:rsid w:val="00785538"/>
    <w:pPr>
      <w:numPr>
        <w:numId w:val="0"/>
      </w:numPr>
      <w:pBdr>
        <w:bottom w:val="single" w:sz="8" w:space="4" w:color="0070C0"/>
      </w:pBdr>
      <w:spacing w:after="300"/>
      <w:contextualSpacing/>
    </w:pPr>
    <w:rPr>
      <w:spacing w:val="5"/>
      <w:kern w:val="28"/>
      <w:szCs w:val="52"/>
    </w:rPr>
  </w:style>
  <w:style w:type="character" w:customStyle="1" w:styleId="TitelChar">
    <w:name w:val="Titel Char"/>
    <w:aliases w:val="Title 1 Char"/>
    <w:basedOn w:val="Standaardalinea-lettertype"/>
    <w:link w:val="Titel"/>
    <w:uiPriority w:val="10"/>
    <w:rsid w:val="00785538"/>
    <w:rPr>
      <w:rFonts w:ascii="Century Gothic" w:eastAsiaTheme="majorEastAsia" w:hAnsi="Century Gothic" w:cstheme="majorBidi"/>
      <w:bCs/>
      <w:color w:val="0066A1"/>
      <w:spacing w:val="5"/>
      <w:kern w:val="28"/>
      <w:sz w:val="36"/>
      <w:szCs w:val="52"/>
      <w:lang w:val="en-US"/>
    </w:rPr>
  </w:style>
  <w:style w:type="paragraph" w:styleId="Koptekst">
    <w:name w:val="header"/>
    <w:basedOn w:val="Standaard"/>
    <w:link w:val="KoptekstChar"/>
    <w:unhideWhenUsed/>
    <w:rsid w:val="0069165F"/>
    <w:pPr>
      <w:tabs>
        <w:tab w:val="center" w:pos="4536"/>
        <w:tab w:val="right" w:pos="9072"/>
      </w:tabs>
      <w:spacing w:after="0"/>
    </w:pPr>
  </w:style>
  <w:style w:type="character" w:customStyle="1" w:styleId="KoptekstChar">
    <w:name w:val="Koptekst Char"/>
    <w:basedOn w:val="Standaardalinea-lettertype"/>
    <w:link w:val="Koptekst"/>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5C2A59"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oetelu,numbered,Bullet List,FooterText,List Paragraph1,Paragraphe de liste1,Bulletr List Paragraph,列出段落,列出段落1,List Paragraph2,List Paragraph21,Párrafo de lista1,Parágrafo da Lista1,リスト段落1,Listeafsnit1"/>
    <w:basedOn w:val="Standaard"/>
    <w:link w:val="LijstalineaChar"/>
    <w:uiPriority w:val="34"/>
    <w:qFormat/>
    <w:rsid w:val="00AE071E"/>
    <w:pPr>
      <w:ind w:left="720"/>
      <w:contextualSpacing/>
    </w:pPr>
  </w:style>
  <w:style w:type="table" w:styleId="Tabelraster">
    <w:name w:val="Table Grid"/>
    <w:basedOn w:val="Standaardtabel"/>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la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FDF" w:themeFill="text1" w:themeFillTint="3F"/>
      </w:tcPr>
    </w:tblStylePr>
    <w:tblStylePr w:type="band1Horz">
      <w:tblPr/>
      <w:tcPr>
        <w:tcBorders>
          <w:left w:val="nil"/>
          <w:right w:val="nil"/>
          <w:insideH w:val="nil"/>
          <w:insideV w:val="nil"/>
        </w:tcBorders>
        <w:shd w:val="clear" w:color="auto" w:fill="E1BFDF"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entury Gothic" w:hAnsi="Century Goth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numPr>
        <w:numId w:val="0"/>
      </w:numPr>
      <w:pBdr>
        <w:bottom w:val="none" w:sz="0" w:space="0" w:color="auto"/>
      </w:pBdr>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C503ED"/>
    <w:pPr>
      <w:tabs>
        <w:tab w:val="left" w:pos="210"/>
        <w:tab w:val="right" w:leader="dot" w:pos="9979"/>
      </w:tabs>
    </w:pPr>
    <w:rPr>
      <w:noProof/>
    </w:rPr>
  </w:style>
  <w:style w:type="paragraph" w:styleId="Inhopg2">
    <w:name w:val="toc 2"/>
    <w:basedOn w:val="Standaard"/>
    <w:next w:val="Standaard"/>
    <w:autoRedefine/>
    <w:uiPriority w:val="39"/>
    <w:unhideWhenUsed/>
    <w:rsid w:val="00C503ED"/>
    <w:pPr>
      <w:tabs>
        <w:tab w:val="left" w:pos="567"/>
        <w:tab w:val="left" w:pos="880"/>
        <w:tab w:val="right" w:leader="dot" w:pos="9062"/>
        <w:tab w:val="right" w:leader="dot" w:pos="9968"/>
      </w:tabs>
      <w:ind w:left="198"/>
    </w:pPr>
    <w:rPr>
      <w:noProof/>
    </w:rPr>
  </w:style>
  <w:style w:type="paragraph" w:styleId="Inhopg3">
    <w:name w:val="toc 3"/>
    <w:basedOn w:val="Standaard"/>
    <w:next w:val="Standaard"/>
    <w:autoRedefine/>
    <w:uiPriority w:val="39"/>
    <w:unhideWhenUsed/>
    <w:rsid w:val="00C503ED"/>
    <w:pPr>
      <w:tabs>
        <w:tab w:val="left" w:pos="1100"/>
        <w:tab w:val="right" w:leader="dot" w:pos="9062"/>
      </w:tabs>
      <w:spacing w:after="40"/>
      <w:ind w:left="567"/>
    </w:pPr>
  </w:style>
  <w:style w:type="character" w:styleId="Hyperlink">
    <w:name w:val="Hyperlink"/>
    <w:basedOn w:val="Standaardalinea-lettertype"/>
    <w:uiPriority w:val="99"/>
    <w:unhideWhenUsed/>
    <w:rsid w:val="004231CE"/>
    <w:rPr>
      <w:color w:val="C8A857" w:themeColor="hyperlink"/>
      <w:u w:val="single"/>
    </w:rPr>
  </w:style>
  <w:style w:type="paragraph" w:customStyle="1" w:styleId="indent1">
    <w:name w:val="indent 1"/>
    <w:aliases w:val="i1"/>
    <w:basedOn w:val="Standaard"/>
    <w:uiPriority w:val="99"/>
    <w:rsid w:val="00AB7827"/>
    <w:pPr>
      <w:keepLines/>
      <w:tabs>
        <w:tab w:val="num" w:pos="360"/>
      </w:tabs>
      <w:ind w:left="360" w:hanging="360"/>
    </w:pPr>
    <w:rPr>
      <w:rFonts w:ascii="Arial" w:eastAsia="Times New Roman" w:hAnsi="Arial" w:cs="Times New Roman"/>
      <w:szCs w:val="20"/>
      <w:lang w:eastAsia="fr-FR"/>
    </w:rPr>
  </w:style>
  <w:style w:type="paragraph" w:styleId="Bijschrift">
    <w:name w:val="caption"/>
    <w:aliases w:val="Description Table"/>
    <w:basedOn w:val="Standaard"/>
    <w:next w:val="Standaard"/>
    <w:uiPriority w:val="35"/>
    <w:unhideWhenUsed/>
    <w:qFormat/>
    <w:rsid w:val="006D0981"/>
    <w:pPr>
      <w:spacing w:before="200" w:after="100"/>
      <w:jc w:val="center"/>
    </w:pPr>
    <w:rPr>
      <w:bCs/>
      <w:color w:val="0070C0"/>
      <w:szCs w:val="18"/>
    </w:rPr>
  </w:style>
  <w:style w:type="paragraph" w:customStyle="1" w:styleId="Table-title">
    <w:name w:val="Table-title"/>
    <w:basedOn w:val="Standaard"/>
    <w:uiPriority w:val="99"/>
    <w:rsid w:val="00052F03"/>
    <w:pPr>
      <w:spacing w:after="20"/>
      <w:jc w:val="left"/>
    </w:pPr>
    <w:rPr>
      <w:rFonts w:eastAsia="Times New Roman" w:cs="Times New Roman"/>
      <w:b/>
      <w:szCs w:val="20"/>
      <w:lang w:eastAsia="fr-FR"/>
    </w:rPr>
  </w:style>
  <w:style w:type="paragraph" w:styleId="Lijstmetafbeeldingen">
    <w:name w:val="table of figures"/>
    <w:basedOn w:val="Standaard"/>
    <w:next w:val="Standaard"/>
    <w:uiPriority w:val="99"/>
    <w:unhideWhenUsed/>
    <w:rsid w:val="00937987"/>
    <w:pPr>
      <w:spacing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nhideWhenUsed/>
    <w:rsid w:val="00E70ADB"/>
    <w:rPr>
      <w:sz w:val="16"/>
      <w:szCs w:val="16"/>
    </w:rPr>
  </w:style>
  <w:style w:type="paragraph" w:styleId="Tekstopmerking">
    <w:name w:val="annotation text"/>
    <w:basedOn w:val="Standaard"/>
    <w:link w:val="TekstopmerkingChar"/>
    <w:unhideWhenUsed/>
    <w:rsid w:val="00E70ADB"/>
    <w:rPr>
      <w:sz w:val="20"/>
      <w:szCs w:val="20"/>
    </w:rPr>
  </w:style>
  <w:style w:type="character" w:customStyle="1" w:styleId="TekstopmerkingChar">
    <w:name w:val="Tekst opmerking Char"/>
    <w:basedOn w:val="Standaardalinea-lettertype"/>
    <w:link w:val="Tekstopmerking"/>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Footnote Text Char Char,footnote,Testo nota a piè di pagina_Rientro"/>
    <w:basedOn w:val="Standaard"/>
    <w:link w:val="VoetnoottekstChar"/>
    <w:unhideWhenUsed/>
    <w:qFormat/>
    <w:rsid w:val="00620E08"/>
    <w:pPr>
      <w:spacing w:after="0"/>
    </w:pPr>
    <w:rPr>
      <w:sz w:val="20"/>
      <w:szCs w:val="20"/>
    </w:rPr>
  </w:style>
  <w:style w:type="character" w:customStyle="1" w:styleId="VoetnoottekstChar">
    <w:name w:val="Voetnoottekst Char"/>
    <w:aliases w:val="Schriftart: 9 pt Char2,Schriftart: 10 pt Char2,Schriftart: 8 pt Char2,WB-Fußnotentext Char2,fn Char2,footnote text Char2,Footnotes Char2,Footnote ak Char2,FoodNote Char2,ft Char2,Footnote text Char2,Footnote Char2,footnote Char"/>
    <w:basedOn w:val="Standaardalinea-lettertype"/>
    <w:link w:val="Voetnoottekst"/>
    <w:rsid w:val="00620E08"/>
    <w:rPr>
      <w:sz w:val="20"/>
      <w:szCs w:val="20"/>
    </w:rPr>
  </w:style>
  <w:style w:type="character" w:styleId="Voetnootmarkering">
    <w:name w:val="footnote reference"/>
    <w:aliases w:val="Footnote symbol,Times 10 Point,Exposant 3 Point, Exposant 3 Point,SUPERS,Footnote sign,Voetnootverwijzing,Footnote Refernece,BVI fnr,Fußnotenzeichen_Raxen,callout,Footnote Reference Number,Footnote reference number"/>
    <w:basedOn w:val="Standaardalinea-lettertype"/>
    <w:unhideWhenUsed/>
    <w:qFormat/>
    <w:rsid w:val="00620E08"/>
    <w:rPr>
      <w:vertAlign w:val="superscript"/>
    </w:rPr>
  </w:style>
  <w:style w:type="character" w:styleId="GevolgdeHyperlink">
    <w:name w:val="FollowedHyperlink"/>
    <w:basedOn w:val="Standaardalinea-lettertype"/>
    <w:uiPriority w:val="99"/>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after="120"/>
    </w:pPr>
    <w:rPr>
      <w:rFonts w:eastAsia="Times New Roman" w:cs="Times New Roman"/>
      <w:szCs w:val="20"/>
      <w:lang w:val="de-DE" w:eastAsia="de-DE"/>
    </w:rPr>
  </w:style>
  <w:style w:type="character" w:customStyle="1" w:styleId="LijstalineaChar">
    <w:name w:val="Lijstalinea Char"/>
    <w:aliases w:val="Loetelu Char,numbered Char,Bullet List Char,FooterText Char,List Paragraph1 Char,Paragraphe de liste1 Char,Bulletr List Paragraph Char,列出段落 Char,列出段落1 Char,List Paragraph2 Char,List Paragraph21 Char,Párrafo de lista1 Char,リスト段落1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Lijstalinea"/>
    <w:link w:val="Bullet1Car"/>
    <w:qFormat/>
    <w:rsid w:val="00C503ED"/>
    <w:pPr>
      <w:numPr>
        <w:numId w:val="22"/>
      </w:numPr>
    </w:pPr>
  </w:style>
  <w:style w:type="paragraph" w:customStyle="1" w:styleId="Bullet2">
    <w:name w:val="Bullet 2"/>
    <w:basedOn w:val="Standaard"/>
    <w:link w:val="Bullet2Car"/>
    <w:qFormat/>
    <w:rsid w:val="00B97526"/>
    <w:pPr>
      <w:numPr>
        <w:numId w:val="26"/>
      </w:numPr>
      <w:suppressAutoHyphens/>
      <w:spacing w:before="40" w:after="40"/>
      <w:ind w:left="476" w:hanging="224"/>
    </w:pPr>
    <w:rPr>
      <w:rFonts w:eastAsia="Times New Roman" w:cs="Times New Roman"/>
      <w:szCs w:val="24"/>
      <w:lang w:val="es-ES"/>
    </w:rPr>
  </w:style>
  <w:style w:type="character" w:customStyle="1" w:styleId="Bullet1Car">
    <w:name w:val="Bullet 1 Car"/>
    <w:basedOn w:val="Standaardalinea-lettertype"/>
    <w:link w:val="Bullet1"/>
    <w:rsid w:val="00C503ED"/>
    <w:rPr>
      <w:rFonts w:ascii="Times New Roman" w:hAnsi="Times New Roman"/>
      <w:lang w:val="en-GB"/>
    </w:rPr>
  </w:style>
  <w:style w:type="character" w:customStyle="1" w:styleId="Bullet2Car">
    <w:name w:val="Bullet 2 Car"/>
    <w:basedOn w:val="Standaardalinea-lettertype"/>
    <w:link w:val="Bullet2"/>
    <w:rsid w:val="00B97526"/>
    <w:rPr>
      <w:rFonts w:ascii="Times New Roman" w:eastAsia="Times New Roman" w:hAnsi="Times New Roman" w:cs="Times New Roman"/>
      <w:szCs w:val="24"/>
      <w:lang w:val="es-ES"/>
    </w:rPr>
  </w:style>
  <w:style w:type="paragraph" w:styleId="Revisie">
    <w:name w:val="Revision"/>
    <w:hidden/>
    <w:uiPriority w:val="99"/>
    <w:semiHidden/>
    <w:rsid w:val="00537FA8"/>
    <w:pPr>
      <w:spacing w:after="0" w:line="240" w:lineRule="auto"/>
    </w:pPr>
    <w:rPr>
      <w:lang w:val="en-GB"/>
    </w:rPr>
  </w:style>
  <w:style w:type="paragraph" w:styleId="Inhopg9">
    <w:name w:val="toc 9"/>
    <w:basedOn w:val="Standaard"/>
    <w:next w:val="Standaard"/>
    <w:autoRedefine/>
    <w:uiPriority w:val="39"/>
    <w:rsid w:val="001F41F0"/>
    <w:pPr>
      <w:spacing w:after="0"/>
      <w:ind w:left="1920"/>
    </w:pPr>
    <w:rPr>
      <w:rFonts w:eastAsia="Times New Roman" w:cs="Times New Roman"/>
      <w:szCs w:val="24"/>
      <w:lang w:eastAsia="it-IT"/>
    </w:rPr>
  </w:style>
  <w:style w:type="paragraph" w:styleId="Inhopg5">
    <w:name w:val="toc 5"/>
    <w:basedOn w:val="Standaard"/>
    <w:next w:val="Standaard"/>
    <w:autoRedefine/>
    <w:uiPriority w:val="39"/>
    <w:rsid w:val="001F41F0"/>
    <w:pPr>
      <w:spacing w:after="0"/>
      <w:ind w:left="960"/>
    </w:pPr>
    <w:rPr>
      <w:rFonts w:eastAsia="Times New Roman" w:cs="Times New Roman"/>
      <w:szCs w:val="24"/>
      <w:lang w:eastAsia="it-IT"/>
    </w:rPr>
  </w:style>
  <w:style w:type="character" w:customStyle="1" w:styleId="CommentTextChar1">
    <w:name w:val="Comment Text Char1"/>
    <w:uiPriority w:val="99"/>
    <w:rsid w:val="001F41F0"/>
    <w:rPr>
      <w:lang w:val="it-IT" w:eastAsia="it-IT" w:bidi="ar-SA"/>
    </w:rPr>
  </w:style>
  <w:style w:type="character" w:customStyle="1" w:styleId="CarattereCarattere2">
    <w:name w:val="Carattere Carattere2"/>
    <w:semiHidden/>
    <w:rsid w:val="001F41F0"/>
    <w:rPr>
      <w:rFonts w:ascii="Times New Roman" w:eastAsia="Times New Roman" w:hAnsi="Times New Roman" w:cs="Times New Roman"/>
      <w:sz w:val="20"/>
      <w:szCs w:val="20"/>
      <w:lang w:eastAsia="it-IT"/>
    </w:rPr>
  </w:style>
  <w:style w:type="paragraph" w:customStyle="1" w:styleId="Paragrafoelenco1">
    <w:name w:val="Paragrafo elenco1"/>
    <w:basedOn w:val="Standaard"/>
    <w:rsid w:val="001F41F0"/>
    <w:pPr>
      <w:spacing w:after="0"/>
      <w:ind w:left="720"/>
      <w:contextualSpacing/>
    </w:pPr>
    <w:rPr>
      <w:rFonts w:eastAsia="Calibri" w:cs="Times New Roman"/>
      <w:szCs w:val="24"/>
      <w:lang w:eastAsia="it-IT"/>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1F41F0"/>
    <w:rPr>
      <w:rFonts w:ascii="Calibri" w:hAnsi="Calibri"/>
      <w:noProof/>
      <w:sz w:val="16"/>
      <w:lang w:val="en-GB" w:eastAsia="en-GB"/>
    </w:rPr>
  </w:style>
  <w:style w:type="paragraph" w:customStyle="1" w:styleId="KeyPersonName">
    <w:name w:val="KeyPersonName"/>
    <w:basedOn w:val="Standaard"/>
    <w:link w:val="KeyPersonNameCarattere"/>
    <w:rsid w:val="001F41F0"/>
    <w:pPr>
      <w:spacing w:before="40" w:after="40"/>
    </w:pPr>
    <w:rPr>
      <w:rFonts w:eastAsia="Times New Roman" w:cs="Times New Roman"/>
      <w:b/>
      <w:szCs w:val="24"/>
      <w:lang w:val="en-US" w:eastAsia="es-ES"/>
    </w:rPr>
  </w:style>
  <w:style w:type="character" w:customStyle="1" w:styleId="KeyPersonNameCarattere">
    <w:name w:val="KeyPersonName Carattere"/>
    <w:basedOn w:val="Standaardalinea-lettertype"/>
    <w:link w:val="KeyPersonName"/>
    <w:rsid w:val="001F41F0"/>
    <w:rPr>
      <w:rFonts w:eastAsia="Times New Roman" w:cs="Times New Roman"/>
      <w:b/>
      <w:szCs w:val="24"/>
      <w:lang w:val="en-US" w:eastAsia="es-ES"/>
    </w:rPr>
  </w:style>
  <w:style w:type="paragraph" w:customStyle="1" w:styleId="Default">
    <w:name w:val="Default"/>
    <w:rsid w:val="001F41F0"/>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Standaard"/>
    <w:qFormat/>
    <w:rsid w:val="001F41F0"/>
    <w:pPr>
      <w:spacing w:after="0"/>
      <w:ind w:left="720"/>
      <w:contextualSpacing/>
      <w:jc w:val="center"/>
    </w:pPr>
    <w:rPr>
      <w:rFonts w:eastAsia="SimSun" w:cs="Times New Roman"/>
      <w:sz w:val="20"/>
      <w:szCs w:val="20"/>
      <w:lang w:val="en-US"/>
    </w:rPr>
  </w:style>
  <w:style w:type="paragraph" w:customStyle="1" w:styleId="Normale11pt">
    <w:name w:val="Normale 11pt"/>
    <w:basedOn w:val="Standaard"/>
    <w:link w:val="Normale11ptCarattere"/>
    <w:qFormat/>
    <w:rsid w:val="001F41F0"/>
    <w:pPr>
      <w:spacing w:after="120"/>
    </w:pPr>
    <w:rPr>
      <w:rFonts w:eastAsia="Times New Roman" w:cs="Times New Roman"/>
      <w:lang w:eastAsia="en-GB"/>
    </w:rPr>
  </w:style>
  <w:style w:type="character" w:customStyle="1" w:styleId="Normale11ptCarattere">
    <w:name w:val="Normale 11pt Carattere"/>
    <w:link w:val="Normale11pt"/>
    <w:rsid w:val="001F41F0"/>
    <w:rPr>
      <w:rFonts w:ascii="Calibri" w:eastAsia="Times New Roman" w:hAnsi="Calibri" w:cs="Times New Roman"/>
      <w:lang w:val="en-GB" w:eastAsia="en-GB"/>
    </w:rPr>
  </w:style>
  <w:style w:type="paragraph" w:customStyle="1" w:styleId="Grigliachiara-Colore31">
    <w:name w:val="Griglia chiara - Colore 31"/>
    <w:basedOn w:val="Standaard"/>
    <w:link w:val="Grigliachiara-Colore3Carattere"/>
    <w:uiPriority w:val="34"/>
    <w:qFormat/>
    <w:rsid w:val="001F41F0"/>
    <w:pPr>
      <w:spacing w:before="120" w:after="360"/>
      <w:ind w:left="720"/>
      <w:contextualSpacing/>
    </w:pPr>
    <w:rPr>
      <w:rFonts w:eastAsia="Calibri" w:cs="Times New Roman"/>
      <w:sz w:val="24"/>
      <w:lang w:eastAsia="it-IT"/>
    </w:rPr>
  </w:style>
  <w:style w:type="character" w:customStyle="1" w:styleId="Grigliachiara-Colore3Carattere">
    <w:name w:val="Griglia chiara - Colore 3 Carattere"/>
    <w:link w:val="Grigliachiara-Colore31"/>
    <w:uiPriority w:val="34"/>
    <w:rsid w:val="001F41F0"/>
    <w:rPr>
      <w:rFonts w:ascii="Calibri" w:eastAsia="Calibri" w:hAnsi="Calibri" w:cs="Times New Roman"/>
      <w:sz w:val="24"/>
      <w:lang w:val="en-GB" w:eastAsia="it-IT"/>
    </w:rPr>
  </w:style>
  <w:style w:type="paragraph" w:customStyle="1" w:styleId="Ref">
    <w:name w:val="_Ref"/>
    <w:basedOn w:val="Standaard"/>
    <w:rsid w:val="001F41F0"/>
    <w:pPr>
      <w:spacing w:before="120" w:after="120"/>
      <w:ind w:left="426" w:hanging="426"/>
    </w:pPr>
    <w:rPr>
      <w:rFonts w:eastAsia="Calibri" w:cs="Times New Roman"/>
      <w:sz w:val="20"/>
      <w:szCs w:val="20"/>
    </w:rPr>
  </w:style>
  <w:style w:type="character" w:customStyle="1" w:styleId="Schriftart9ptChar1">
    <w:name w:val="Schriftart: 9 pt Char1"/>
    <w:aliases w:val="Schriftart: 10 pt Char1,Schriftart: 8 pt Char1,WB-Fußnotentext Char1,fn Char1,footnote text Char1,Footnotes Char1,Footnote ak Char1,FoodNote Char1,ft Char1,Footnote text Char1,Footnote Char1"/>
    <w:basedOn w:val="Standaardalinea-lettertype"/>
    <w:semiHidden/>
    <w:rsid w:val="001F41F0"/>
    <w:rPr>
      <w:rFonts w:ascii="Calibri" w:eastAsia="Calibri" w:hAnsi="Calibri"/>
      <w:lang w:val="es-ES" w:eastAsia="en-US"/>
    </w:rPr>
  </w:style>
  <w:style w:type="paragraph" w:styleId="Eindnoottekst">
    <w:name w:val="endnote text"/>
    <w:basedOn w:val="Standaard"/>
    <w:link w:val="EindnoottekstChar"/>
    <w:semiHidden/>
    <w:unhideWhenUsed/>
    <w:rsid w:val="001F41F0"/>
    <w:pPr>
      <w:spacing w:after="0"/>
    </w:pPr>
    <w:rPr>
      <w:rFonts w:eastAsia="Times New Roman" w:cs="Times New Roman"/>
      <w:sz w:val="20"/>
      <w:szCs w:val="20"/>
      <w:lang w:eastAsia="it-IT"/>
    </w:rPr>
  </w:style>
  <w:style w:type="character" w:customStyle="1" w:styleId="EindnoottekstChar">
    <w:name w:val="Eindnoottekst Char"/>
    <w:basedOn w:val="Standaardalinea-lettertype"/>
    <w:link w:val="Eindnoottekst"/>
    <w:semiHidden/>
    <w:rsid w:val="001F41F0"/>
    <w:rPr>
      <w:rFonts w:ascii="Calibri" w:eastAsia="Times New Roman" w:hAnsi="Calibri" w:cs="Times New Roman"/>
      <w:sz w:val="20"/>
      <w:szCs w:val="20"/>
      <w:lang w:val="en-GB" w:eastAsia="it-IT"/>
    </w:rPr>
  </w:style>
  <w:style w:type="character" w:styleId="Eindnootmarkering">
    <w:name w:val="endnote reference"/>
    <w:basedOn w:val="Standaardalinea-lettertype"/>
    <w:semiHidden/>
    <w:unhideWhenUsed/>
    <w:rsid w:val="001F41F0"/>
    <w:rPr>
      <w:vertAlign w:val="superscript"/>
    </w:rPr>
  </w:style>
  <w:style w:type="paragraph" w:customStyle="1" w:styleId="Notaapidipagina">
    <w:name w:val="Nota a piè di pagina"/>
    <w:basedOn w:val="Voettekst"/>
    <w:rsid w:val="001F41F0"/>
    <w:pPr>
      <w:tabs>
        <w:tab w:val="clear" w:pos="4536"/>
        <w:tab w:val="clear" w:pos="9072"/>
        <w:tab w:val="center" w:pos="4819"/>
        <w:tab w:val="right" w:pos="9638"/>
      </w:tabs>
      <w:spacing w:after="120" w:line="276" w:lineRule="auto"/>
    </w:pPr>
    <w:rPr>
      <w:rFonts w:eastAsia="Calibri" w:cs="Times New Roman"/>
      <w:sz w:val="18"/>
    </w:rPr>
  </w:style>
  <w:style w:type="table" w:customStyle="1" w:styleId="ListTable4-Accent31">
    <w:name w:val="List Table 4 - Accent 31"/>
    <w:basedOn w:val="Standaardtabel"/>
    <w:uiPriority w:val="49"/>
    <w:rsid w:val="001F41F0"/>
    <w:pPr>
      <w:spacing w:after="0" w:line="240" w:lineRule="auto"/>
    </w:pPr>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il"/>
        </w:tcBorders>
        <w:shd w:val="clear" w:color="auto" w:fill="6DAA2D" w:themeFill="accent3"/>
      </w:tcPr>
    </w:tblStylePr>
    <w:tblStylePr w:type="lastRow">
      <w:rPr>
        <w:b/>
        <w:bCs/>
      </w:rPr>
      <w:tblPr/>
      <w:tcPr>
        <w:tcBorders>
          <w:top w:val="double" w:sz="4" w:space="0" w:color="A7DA73" w:themeColor="accent3" w:themeTint="99"/>
        </w:tcBorders>
      </w:tcPr>
    </w:tblStylePr>
    <w:tblStylePr w:type="firstCol">
      <w:rPr>
        <w:b/>
        <w:bCs/>
      </w:rPr>
    </w:tblStylePr>
    <w:tblStylePr w:type="lastCol">
      <w:rPr>
        <w:b/>
        <w:bCs/>
      </w:rPr>
    </w:tblStylePr>
    <w:tblStylePr w:type="band1Vert">
      <w:tblPr/>
      <w:tcPr>
        <w:shd w:val="clear" w:color="auto" w:fill="E1F2D0" w:themeFill="accent3" w:themeFillTint="33"/>
      </w:tcPr>
    </w:tblStylePr>
    <w:tblStylePr w:type="band1Horz">
      <w:tblPr/>
      <w:tcPr>
        <w:shd w:val="clear" w:color="auto" w:fill="E1F2D0" w:themeFill="accent3" w:themeFillTint="33"/>
      </w:tcPr>
    </w:tblStylePr>
  </w:style>
  <w:style w:type="table" w:customStyle="1" w:styleId="GridTable1Light-Accent11">
    <w:name w:val="Grid Table 1 Light - Accent 11"/>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paragraph" w:customStyle="1" w:styleId="TitleUnderlined">
    <w:name w:val="Title Underlined"/>
    <w:basedOn w:val="Standaard"/>
    <w:link w:val="TitleUnderlinedChar"/>
    <w:qFormat/>
    <w:rsid w:val="008076AB"/>
    <w:pPr>
      <w:pBdr>
        <w:bottom w:val="single" w:sz="4" w:space="1" w:color="BFBFBF" w:themeColor="background1" w:themeShade="BF"/>
      </w:pBdr>
      <w:spacing w:before="300" w:after="100"/>
    </w:pPr>
    <w:rPr>
      <w:rFonts w:eastAsia="Times New Roman" w:cs="Times New Roman"/>
      <w:b/>
      <w:lang w:val="en-US" w:eastAsia="it-IT"/>
    </w:rPr>
  </w:style>
  <w:style w:type="character" w:customStyle="1" w:styleId="TitleUnderlinedChar">
    <w:name w:val="Title Underlined Char"/>
    <w:basedOn w:val="Standaardalinea-lettertype"/>
    <w:link w:val="TitleUnderlined"/>
    <w:rsid w:val="008076AB"/>
    <w:rPr>
      <w:rFonts w:ascii="Calibri" w:eastAsia="Times New Roman" w:hAnsi="Calibri" w:cs="Times New Roman"/>
      <w:b/>
      <w:lang w:val="en-US" w:eastAsia="it-IT"/>
    </w:rPr>
  </w:style>
  <w:style w:type="paragraph" w:customStyle="1" w:styleId="Normale1">
    <w:name w:val="Normale1"/>
    <w:basedOn w:val="Standaard"/>
    <w:rsid w:val="001F41F0"/>
    <w:pPr>
      <w:widowControl w:val="0"/>
      <w:suppressAutoHyphens/>
      <w:spacing w:before="120" w:after="120"/>
    </w:pPr>
    <w:rPr>
      <w:rFonts w:ascii="Segoe UI" w:eastAsia="Calibri" w:hAnsi="Segoe UI" w:cs="Segoe UI"/>
      <w:bCs/>
      <w:sz w:val="20"/>
      <w:szCs w:val="20"/>
    </w:rPr>
  </w:style>
  <w:style w:type="paragraph" w:customStyle="1" w:styleId="Destacado">
    <w:name w:val="Destacado"/>
    <w:basedOn w:val="Standaard"/>
    <w:qFormat/>
    <w:rsid w:val="00B40410"/>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Standaard"/>
    <w:next w:val="Standaard"/>
    <w:qFormat/>
    <w:rsid w:val="00D00A6F"/>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Standaard"/>
    <w:qFormat/>
    <w:rsid w:val="00092EB9"/>
    <w:pPr>
      <w:spacing w:after="100"/>
    </w:pPr>
    <w:rPr>
      <w:lang w:val="it-IT"/>
    </w:rPr>
  </w:style>
  <w:style w:type="paragraph" w:customStyle="1" w:styleId="workprogramme">
    <w:name w:val="work programme"/>
    <w:next w:val="Standaard"/>
    <w:qFormat/>
    <w:rsid w:val="002F4620"/>
    <w:pPr>
      <w:pBdr>
        <w:top w:val="single" w:sz="2" w:space="1" w:color="D1DFF3"/>
        <w:left w:val="single" w:sz="2" w:space="1" w:color="D1DFF3"/>
        <w:bottom w:val="single" w:sz="2" w:space="1" w:color="D1DFF3"/>
        <w:right w:val="single" w:sz="2" w:space="1" w:color="D1DFF3"/>
      </w:pBdr>
      <w:shd w:val="clear" w:color="auto" w:fill="E2E2E2"/>
      <w:spacing w:after="0" w:line="240" w:lineRule="auto"/>
    </w:pPr>
    <w:rPr>
      <w:rFonts w:ascii="Times New Roman" w:hAnsi="Times New Roman"/>
      <w:lang w:val="en-GB"/>
    </w:rPr>
  </w:style>
  <w:style w:type="paragraph" w:customStyle="1" w:styleId="Bullet3">
    <w:name w:val="Bullet 3"/>
    <w:basedOn w:val="Bullet2"/>
    <w:qFormat/>
    <w:rsid w:val="00B97526"/>
    <w:pPr>
      <w:numPr>
        <w:numId w:val="27"/>
      </w:numPr>
      <w:ind w:left="700" w:hanging="224"/>
    </w:pPr>
  </w:style>
  <w:style w:type="paragraph" w:customStyle="1" w:styleId="Bullet4">
    <w:name w:val="Bullet 4"/>
    <w:basedOn w:val="Bullet3"/>
    <w:qFormat/>
    <w:rsid w:val="00B97526"/>
    <w:pPr>
      <w:numPr>
        <w:numId w:val="28"/>
      </w:numPr>
      <w:ind w:left="910" w:hanging="210"/>
    </w:pPr>
  </w:style>
  <w:style w:type="paragraph" w:customStyle="1" w:styleId="Bullet5">
    <w:name w:val="Bullet 5"/>
    <w:basedOn w:val="Bullet4"/>
    <w:qFormat/>
    <w:rsid w:val="00B97526"/>
    <w:pPr>
      <w:numPr>
        <w:numId w:val="29"/>
      </w:numPr>
      <w:ind w:left="1148" w:hanging="196"/>
    </w:pPr>
  </w:style>
  <w:style w:type="numbering" w:customStyle="1" w:styleId="ARILISTA">
    <w:name w:val="ARI LISTA"/>
    <w:uiPriority w:val="99"/>
    <w:rsid w:val="0084712F"/>
    <w:pPr>
      <w:numPr>
        <w:numId w:val="6"/>
      </w:numPr>
    </w:pPr>
  </w:style>
  <w:style w:type="paragraph" w:customStyle="1" w:styleId="Instrucciones">
    <w:name w:val="Instrucciones"/>
    <w:basedOn w:val="Standaard"/>
    <w:qFormat/>
    <w:rsid w:val="003B2950"/>
    <w:rPr>
      <w:color w:val="7030A0"/>
    </w:rPr>
  </w:style>
  <w:style w:type="paragraph" w:customStyle="1" w:styleId="Table-Text">
    <w:name w:val="Table-Text"/>
    <w:basedOn w:val="Standaard"/>
    <w:qFormat/>
    <w:rsid w:val="00141AAA"/>
    <w:pPr>
      <w:spacing w:after="40"/>
      <w:jc w:val="left"/>
    </w:pPr>
  </w:style>
  <w:style w:type="paragraph" w:customStyle="1" w:styleId="Impact">
    <w:name w:val="Impact"/>
    <w:basedOn w:val="Objective"/>
    <w:qFormat/>
    <w:rsid w:val="00E648D1"/>
    <w:pPr>
      <w:shd w:val="clear" w:color="auto" w:fill="D1DFF3"/>
    </w:pPr>
  </w:style>
  <w:style w:type="paragraph" w:customStyle="1" w:styleId="Table-titleWhite">
    <w:name w:val="Table-title White"/>
    <w:basedOn w:val="Table-title"/>
    <w:autoRedefine/>
    <w:qFormat/>
    <w:rsid w:val="004709BF"/>
    <w:rPr>
      <w:rFonts w:ascii="Times New Roman" w:hAnsi="Times New Roman" w:cstheme="minorHAnsi"/>
      <w:b w:val="0"/>
      <w:color w:val="FFFFFF" w:themeColor="background1" w:themeTint="66"/>
    </w:rPr>
  </w:style>
  <w:style w:type="table" w:customStyle="1" w:styleId="ARI">
    <w:name w:val="ARI"/>
    <w:basedOn w:val="Standaardtabel"/>
    <w:uiPriority w:val="99"/>
    <w:rsid w:val="003013BB"/>
    <w:pPr>
      <w:spacing w:after="0" w:line="240" w:lineRule="auto"/>
    </w:pPr>
    <w:tblPr/>
    <w:tblStylePr w:type="firstRow">
      <w:pPr>
        <w:jc w:val="left"/>
      </w:pPr>
      <w:rPr>
        <w:rFonts w:ascii="Times New Roman" w:hAnsi="Times New Roman"/>
        <w:b/>
        <w:color w:val="FFFFFF" w:themeColor="background1"/>
        <w:sz w:val="20"/>
      </w:rPr>
      <w:tblPr/>
      <w:tcPr>
        <w:shd w:val="clear" w:color="auto" w:fill="0066A1"/>
      </w:tcPr>
    </w:tblStylePr>
    <w:tblStylePr w:type="lastRow">
      <w:rPr>
        <w:rFonts w:ascii="Times New Roman" w:hAnsi="Times New Roman"/>
        <w:color w:val="auto"/>
        <w:sz w:val="18"/>
      </w:rPr>
    </w:tblStylePr>
  </w:style>
  <w:style w:type="table" w:customStyle="1" w:styleId="ARI1">
    <w:name w:val="ARI 1"/>
    <w:basedOn w:val="Standaardtabel"/>
    <w:uiPriority w:val="99"/>
    <w:rsid w:val="00B015BE"/>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rPr>
        <w:tblHeader/>
      </w:tr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customStyle="1" w:styleId="Barrier">
    <w:name w:val="Barrier"/>
    <w:basedOn w:val="Impact"/>
    <w:qFormat/>
    <w:rsid w:val="00CD79FE"/>
  </w:style>
  <w:style w:type="paragraph" w:customStyle="1" w:styleId="Questions">
    <w:name w:val="Questions"/>
    <w:basedOn w:val="Objective"/>
    <w:qFormat/>
    <w:rsid w:val="00E648D1"/>
    <w:pPr>
      <w:numPr>
        <w:numId w:val="9"/>
      </w:numPr>
      <w:shd w:val="clear" w:color="auto" w:fill="D1DFF3"/>
      <w:ind w:left="227" w:hanging="227"/>
      <w:jc w:val="left"/>
    </w:pPr>
    <w:rPr>
      <w:b w:val="0"/>
      <w:lang w:val="it-IT"/>
    </w:rPr>
  </w:style>
  <w:style w:type="paragraph" w:customStyle="1" w:styleId="Espaciopequeo">
    <w:name w:val="Espacio pequeño"/>
    <w:basedOn w:val="Standaard"/>
    <w:qFormat/>
    <w:rsid w:val="00DA4540"/>
    <w:pPr>
      <w:spacing w:after="40"/>
    </w:pPr>
    <w:rPr>
      <w:sz w:val="2"/>
      <w:lang w:val="it-IT"/>
    </w:rPr>
  </w:style>
  <w:style w:type="table" w:customStyle="1" w:styleId="Personalizado">
    <w:name w:val="Personalizado"/>
    <w:basedOn w:val="Standaardtabel"/>
    <w:uiPriority w:val="99"/>
    <w:rsid w:val="005C4015"/>
    <w:pPr>
      <w:spacing w:after="0" w:line="240" w:lineRule="auto"/>
    </w:pPr>
    <w:tblPr/>
  </w:style>
  <w:style w:type="table" w:customStyle="1" w:styleId="Ari2">
    <w:name w:val="Ari_2"/>
    <w:basedOn w:val="Standaardtabel"/>
    <w:uiPriority w:val="99"/>
    <w:rsid w:val="00F16CB9"/>
    <w:pPr>
      <w:spacing w:after="0" w:line="240" w:lineRule="auto"/>
    </w:pPr>
    <w:tblPr/>
  </w:style>
  <w:style w:type="table" w:styleId="Onopgemaaktetabel2">
    <w:name w:val="Plain Table 2"/>
    <w:basedOn w:val="Standaardtabel"/>
    <w:uiPriority w:val="42"/>
    <w:rsid w:val="00196D10"/>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C37DBF" w:themeColor="text1" w:themeTint="80"/>
        </w:tcBorders>
      </w:tcPr>
    </w:tblStylePr>
    <w:tblStylePr w:type="lastRow">
      <w:rPr>
        <w:b/>
        <w:bCs/>
      </w:rPr>
      <w:tblPr/>
      <w:tcPr>
        <w:tcBorders>
          <w:top w:val="single" w:sz="4" w:space="0" w:color="C37DBF" w:themeColor="text1" w:themeTint="80"/>
        </w:tcBorders>
      </w:tcPr>
    </w:tblStylePr>
    <w:tblStylePr w:type="firstCol">
      <w:rPr>
        <w:b/>
        <w:bCs/>
      </w:rPr>
    </w:tblStylePr>
    <w:tblStylePr w:type="lastCol">
      <w:rPr>
        <w:b/>
        <w:bCs/>
      </w:rPr>
    </w:tblStylePr>
    <w:tblStylePr w:type="band1Vert">
      <w:tblPr/>
      <w:tcPr>
        <w:tcBorders>
          <w:left w:val="single" w:sz="4" w:space="0" w:color="C37DBF" w:themeColor="text1" w:themeTint="80"/>
          <w:right w:val="single" w:sz="4" w:space="0" w:color="C37DBF" w:themeColor="text1" w:themeTint="80"/>
        </w:tcBorders>
      </w:tcPr>
    </w:tblStylePr>
    <w:tblStylePr w:type="band2Vert">
      <w:tblPr/>
      <w:tcPr>
        <w:tcBorders>
          <w:left w:val="single" w:sz="4" w:space="0" w:color="C37DBF" w:themeColor="text1" w:themeTint="80"/>
          <w:right w:val="single" w:sz="4" w:space="0" w:color="C37DBF" w:themeColor="text1" w:themeTint="80"/>
        </w:tcBorders>
      </w:tcPr>
    </w:tblStylePr>
    <w:tblStylePr w:type="band1Horz">
      <w:tblPr/>
      <w:tcPr>
        <w:tcBorders>
          <w:top w:val="single" w:sz="4" w:space="0" w:color="C37DBF" w:themeColor="text1" w:themeTint="80"/>
          <w:bottom w:val="single" w:sz="4" w:space="0" w:color="C37DBF" w:themeColor="text1" w:themeTint="80"/>
        </w:tcBorders>
      </w:tcPr>
    </w:tblStylePr>
  </w:style>
  <w:style w:type="paragraph" w:customStyle="1" w:styleId="DestacadoTtuloAzul">
    <w:name w:val="Destacado Título Azul"/>
    <w:basedOn w:val="Destacado"/>
    <w:qFormat/>
    <w:rsid w:val="009A4CA6"/>
    <w:rPr>
      <w:b/>
      <w:color w:val="0066A1"/>
      <w:lang w:val="en-US"/>
    </w:rPr>
  </w:style>
  <w:style w:type="paragraph" w:customStyle="1" w:styleId="Interlineadopequeo">
    <w:name w:val="Interlineado pequeño"/>
    <w:basedOn w:val="Standaard"/>
    <w:qFormat/>
    <w:rsid w:val="00EB60B6"/>
    <w:pPr>
      <w:spacing w:after="0"/>
    </w:pPr>
    <w:rPr>
      <w:sz w:val="10"/>
      <w:lang w:val="en-US"/>
    </w:rPr>
  </w:style>
  <w:style w:type="paragraph" w:customStyle="1" w:styleId="TableBullet1">
    <w:name w:val="Table Bullet 1"/>
    <w:basedOn w:val="Bullet1"/>
    <w:qFormat/>
    <w:rsid w:val="00C71380"/>
    <w:pPr>
      <w:numPr>
        <w:numId w:val="10"/>
      </w:numPr>
      <w:spacing w:before="20" w:after="20"/>
      <w:ind w:left="191" w:hanging="182"/>
      <w:jc w:val="left"/>
    </w:pPr>
    <w:rPr>
      <w:lang w:val="en-US"/>
    </w:rPr>
  </w:style>
  <w:style w:type="paragraph" w:customStyle="1" w:styleId="TableBullet2">
    <w:name w:val="Table Bullet 2"/>
    <w:basedOn w:val="TableBullet1"/>
    <w:qFormat/>
    <w:rsid w:val="00054AAA"/>
    <w:pPr>
      <w:numPr>
        <w:numId w:val="11"/>
      </w:numPr>
      <w:spacing w:before="0" w:after="0"/>
      <w:ind w:left="425" w:hanging="209"/>
    </w:pPr>
  </w:style>
  <w:style w:type="paragraph" w:customStyle="1" w:styleId="Figura">
    <w:name w:val="Figura"/>
    <w:basedOn w:val="Bijschrift"/>
    <w:qFormat/>
    <w:rsid w:val="00972C1A"/>
    <w:pPr>
      <w:framePr w:hSpace="141" w:wrap="around" w:vAnchor="text" w:hAnchor="margin" w:y="204"/>
    </w:pPr>
  </w:style>
  <w:style w:type="table" w:customStyle="1" w:styleId="ARIsincabecera">
    <w:name w:val="ARI sin cabecera"/>
    <w:basedOn w:val="Standaardtabel"/>
    <w:uiPriority w:val="99"/>
    <w:rsid w:val="004C1E18"/>
    <w:pPr>
      <w:spacing w:after="0" w:line="240" w:lineRule="auto"/>
    </w:pPr>
    <w:rPr>
      <w:rFonts w:ascii="Times New Roman" w:hAnsi="Times New Roman"/>
    </w:rPr>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rFonts w:ascii="Times New Roman" w:hAnsi="Times New Roman"/>
        <w:b w:val="0"/>
        <w:color w:val="auto"/>
        <w:sz w:val="22"/>
      </w:rPr>
    </w:tblStylePr>
  </w:style>
  <w:style w:type="paragraph" w:customStyle="1" w:styleId="ARISinCabecera0">
    <w:name w:val="ARI Sin Cabecera"/>
    <w:basedOn w:val="Table-Text"/>
    <w:next w:val="Table-Text"/>
    <w:rsid w:val="0071212A"/>
    <w:rPr>
      <w:color w:val="FFFFFF" w:themeColor="background1"/>
    </w:rPr>
  </w:style>
  <w:style w:type="paragraph" w:customStyle="1" w:styleId="ARISinCabecera2">
    <w:name w:val="ARI Sin Cabecera 2"/>
    <w:basedOn w:val="Table-Text"/>
    <w:next w:val="Tekstzonderopmaak"/>
    <w:rsid w:val="004C1E18"/>
  </w:style>
  <w:style w:type="paragraph" w:customStyle="1" w:styleId="ARIFilasColor">
    <w:name w:val="ARI Filas Color"/>
    <w:basedOn w:val="Table-Text"/>
    <w:rsid w:val="008C3434"/>
  </w:style>
  <w:style w:type="paragraph" w:styleId="Tekstzonderopmaak">
    <w:name w:val="Plain Text"/>
    <w:basedOn w:val="Standaard"/>
    <w:link w:val="TekstzonderopmaakChar"/>
    <w:uiPriority w:val="99"/>
    <w:unhideWhenUsed/>
    <w:rsid w:val="004C1E18"/>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4C1E18"/>
    <w:rPr>
      <w:rFonts w:ascii="Consolas" w:hAnsi="Consolas" w:cs="Consolas"/>
      <w:sz w:val="21"/>
      <w:szCs w:val="21"/>
      <w:lang w:val="en-GB"/>
    </w:rPr>
  </w:style>
  <w:style w:type="paragraph" w:customStyle="1" w:styleId="Table-Text8">
    <w:name w:val="Table - Text 8"/>
    <w:aliases w:val="5"/>
    <w:basedOn w:val="Table-Text"/>
    <w:qFormat/>
    <w:rsid w:val="00F00BAE"/>
    <w:rPr>
      <w:caps/>
      <w:sz w:val="17"/>
      <w:lang w:val="en-US"/>
    </w:rPr>
  </w:style>
  <w:style w:type="paragraph" w:customStyle="1" w:styleId="Borde">
    <w:name w:val="Borde"/>
    <w:basedOn w:val="Destacado"/>
    <w:qFormat/>
    <w:rsid w:val="00005C90"/>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Standaard"/>
    <w:qFormat/>
    <w:rsid w:val="00005C90"/>
    <w:pPr>
      <w:spacing w:after="20"/>
    </w:pPr>
    <w:rPr>
      <w:b/>
      <w:color w:val="0066A1"/>
    </w:rPr>
  </w:style>
  <w:style w:type="character" w:customStyle="1" w:styleId="Bullet1Char">
    <w:name w:val="Bullet 1 Char"/>
    <w:basedOn w:val="Standaardalinea-lettertype"/>
    <w:rsid w:val="000C790B"/>
    <w:rPr>
      <w:rFonts w:ascii="Times New Roman" w:eastAsia="Times New Roman" w:hAnsi="Times New Roman" w:cs="Times New Roman"/>
      <w:szCs w:val="24"/>
      <w:lang w:val="en-US"/>
    </w:rPr>
  </w:style>
  <w:style w:type="character" w:customStyle="1" w:styleId="Bullet2Char">
    <w:name w:val="Bullet 2 Char"/>
    <w:basedOn w:val="Standaardalinea-lettertype"/>
    <w:rsid w:val="000C790B"/>
    <w:rPr>
      <w:rFonts w:ascii="Times New Roman" w:eastAsia="Times New Roman" w:hAnsi="Times New Roman" w:cs="Times New Roman"/>
      <w:szCs w:val="24"/>
    </w:rPr>
  </w:style>
  <w:style w:type="paragraph" w:customStyle="1" w:styleId="Table-Text-negrita">
    <w:name w:val="Table-Text-negrita"/>
    <w:basedOn w:val="Table-Text"/>
    <w:qFormat/>
    <w:rsid w:val="00973F9A"/>
    <w:pPr>
      <w:framePr w:hSpace="141" w:wrap="around" w:vAnchor="text" w:hAnchor="margin" w:y="360"/>
    </w:pPr>
    <w:rPr>
      <w:b/>
    </w:rPr>
  </w:style>
  <w:style w:type="paragraph" w:customStyle="1" w:styleId="FigureSource">
    <w:name w:val="Figure Source"/>
    <w:basedOn w:val="Standaard"/>
    <w:qFormat/>
    <w:rsid w:val="0014418A"/>
    <w:pPr>
      <w:jc w:val="center"/>
    </w:pPr>
    <w:rPr>
      <w:sz w:val="18"/>
      <w:szCs w:val="18"/>
    </w:rPr>
  </w:style>
  <w:style w:type="table" w:customStyle="1" w:styleId="TableGrid1">
    <w:name w:val="Table Grid1"/>
    <w:basedOn w:val="Standaardtabel"/>
    <w:next w:val="Tabelraster"/>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veusBullets">
    <w:name w:val="Moveus Bullets"/>
    <w:basedOn w:val="Lijstalinea"/>
    <w:rsid w:val="00C37FBF"/>
    <w:pPr>
      <w:numPr>
        <w:numId w:val="15"/>
      </w:numPr>
      <w:autoSpaceDE w:val="0"/>
      <w:autoSpaceDN w:val="0"/>
      <w:adjustRightInd w:val="0"/>
      <w:spacing w:before="40" w:after="0" w:line="276" w:lineRule="auto"/>
    </w:pPr>
    <w:rPr>
      <w:lang w:eastAsia="tr-TR"/>
    </w:rPr>
  </w:style>
  <w:style w:type="table" w:styleId="Gemiddeldraster3-accent6">
    <w:name w:val="Medium Grid 3 Accent 6"/>
    <w:basedOn w:val="Standaardtabel"/>
    <w:uiPriority w:val="69"/>
    <w:rsid w:val="00C37FBF"/>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auf1">
    <w:name w:val="auf1"/>
    <w:basedOn w:val="Standaard"/>
    <w:rsid w:val="00C37FBF"/>
    <w:pPr>
      <w:numPr>
        <w:numId w:val="16"/>
      </w:numPr>
      <w:autoSpaceDE w:val="0"/>
      <w:autoSpaceDN w:val="0"/>
      <w:adjustRightInd w:val="0"/>
      <w:spacing w:after="120"/>
      <w:jc w:val="left"/>
    </w:pPr>
    <w:rPr>
      <w:rFonts w:ascii="Arial" w:eastAsia="SimSun" w:hAnsi="Arial" w:cs="Arial"/>
      <w:noProof/>
      <w:spacing w:val="-3"/>
      <w:lang w:val="en-US" w:eastAsia="de-DE"/>
    </w:rPr>
  </w:style>
  <w:style w:type="paragraph" w:customStyle="1" w:styleId="auf1-1">
    <w:name w:val="auf1-1"/>
    <w:basedOn w:val="auf1"/>
    <w:rsid w:val="00C37FBF"/>
    <w:pPr>
      <w:numPr>
        <w:ilvl w:val="1"/>
      </w:numPr>
    </w:pPr>
  </w:style>
  <w:style w:type="paragraph" w:customStyle="1" w:styleId="strawreportstyle">
    <w:name w:val="straw_report style"/>
    <w:basedOn w:val="Standaard"/>
    <w:autoRedefine/>
    <w:rsid w:val="00C37FBF"/>
    <w:pPr>
      <w:spacing w:before="120" w:after="120"/>
    </w:pPr>
    <w:rPr>
      <w:rFonts w:eastAsia="Times New Roman" w:cs="Times New Roman"/>
      <w:sz w:val="24"/>
      <w:szCs w:val="24"/>
      <w:lang w:eastAsia="it-IT"/>
    </w:rPr>
  </w:style>
  <w:style w:type="paragraph" w:customStyle="1" w:styleId="massifreferences">
    <w:name w:val="massif_references"/>
    <w:basedOn w:val="Standaard"/>
    <w:link w:val="massifreferencesChar"/>
    <w:rsid w:val="00C37FBF"/>
    <w:pPr>
      <w:numPr>
        <w:numId w:val="17"/>
      </w:numPr>
      <w:spacing w:before="120" w:after="120"/>
    </w:pPr>
    <w:rPr>
      <w:rFonts w:eastAsia="Times New Roman" w:cs="Times New Roman"/>
      <w:szCs w:val="24"/>
      <w:lang w:bidi="en-US"/>
    </w:rPr>
  </w:style>
  <w:style w:type="character" w:customStyle="1" w:styleId="massifreferencesChar">
    <w:name w:val="massif_references Char"/>
    <w:basedOn w:val="Standaardalinea-lettertype"/>
    <w:link w:val="massifreferences"/>
    <w:rsid w:val="00C37FBF"/>
    <w:rPr>
      <w:rFonts w:ascii="Times New Roman" w:eastAsia="Times New Roman" w:hAnsi="Times New Roman" w:cs="Times New Roman"/>
      <w:szCs w:val="24"/>
      <w:lang w:val="en-GB" w:bidi="en-US"/>
    </w:rPr>
  </w:style>
  <w:style w:type="paragraph" w:customStyle="1" w:styleId="DescriptionFigure">
    <w:name w:val="Description Figure"/>
    <w:basedOn w:val="Bijschrift"/>
    <w:qFormat/>
    <w:rsid w:val="00320762"/>
    <w:pPr>
      <w:spacing w:before="100" w:after="200"/>
    </w:pPr>
    <w:rPr>
      <w:noProof/>
    </w:rPr>
  </w:style>
  <w:style w:type="paragraph" w:customStyle="1" w:styleId="Normalizquierda">
    <w:name w:val="Normal izquierda"/>
    <w:basedOn w:val="Standaard"/>
    <w:qFormat/>
    <w:rsid w:val="00D65BC3"/>
    <w:pPr>
      <w:shd w:val="clear" w:color="auto" w:fill="D9D9D9" w:themeFill="background1" w:themeFillShade="D9"/>
      <w:tabs>
        <w:tab w:val="num" w:pos="360"/>
      </w:tabs>
      <w:spacing w:before="240" w:after="120"/>
      <w:ind w:left="360" w:hanging="360"/>
      <w:jc w:val="left"/>
    </w:pPr>
  </w:style>
  <w:style w:type="character" w:styleId="Onopgelostemelding">
    <w:name w:val="Unresolved Mention"/>
    <w:basedOn w:val="Standaardalinea-lettertype"/>
    <w:uiPriority w:val="99"/>
    <w:semiHidden/>
    <w:unhideWhenUsed/>
    <w:rsid w:val="00D12DA3"/>
    <w:rPr>
      <w:color w:val="808080"/>
      <w:shd w:val="clear" w:color="auto" w:fill="E6E6E6"/>
    </w:rPr>
  </w:style>
  <w:style w:type="paragraph" w:customStyle="1" w:styleId="massifbody">
    <w:name w:val="massif_body"/>
    <w:basedOn w:val="Standaard"/>
    <w:link w:val="massifbodyChar"/>
    <w:rsid w:val="00D12DA3"/>
    <w:pPr>
      <w:spacing w:before="120" w:after="120"/>
    </w:pPr>
    <w:rPr>
      <w:rFonts w:eastAsia="Times New Roman" w:cs="Times New Roman"/>
      <w:szCs w:val="24"/>
      <w:lang w:bidi="en-US"/>
    </w:rPr>
  </w:style>
  <w:style w:type="character" w:customStyle="1" w:styleId="massifbodyChar">
    <w:name w:val="massif_body Char"/>
    <w:basedOn w:val="Standaardalinea-lettertype"/>
    <w:link w:val="massifbody"/>
    <w:rsid w:val="00D12DA3"/>
    <w:rPr>
      <w:rFonts w:ascii="Times New Roman" w:eastAsia="Times New Roman" w:hAnsi="Times New Roman" w:cs="Times New Roman"/>
      <w:szCs w:val="24"/>
      <w:lang w:val="en-GB" w:bidi="en-US"/>
    </w:rPr>
  </w:style>
  <w:style w:type="paragraph" w:styleId="Inhopg4">
    <w:name w:val="toc 4"/>
    <w:basedOn w:val="Standaard"/>
    <w:next w:val="Standaard"/>
    <w:autoRedefine/>
    <w:uiPriority w:val="39"/>
    <w:unhideWhenUsed/>
    <w:rsid w:val="001428BF"/>
    <w:pPr>
      <w:spacing w:after="100" w:line="259" w:lineRule="auto"/>
      <w:ind w:left="660"/>
      <w:jc w:val="left"/>
    </w:pPr>
    <w:rPr>
      <w:rFonts w:eastAsiaTheme="minorEastAsia"/>
      <w:lang w:val="es-ES" w:eastAsia="es-ES"/>
    </w:rPr>
  </w:style>
  <w:style w:type="paragraph" w:styleId="Inhopg6">
    <w:name w:val="toc 6"/>
    <w:basedOn w:val="Standaard"/>
    <w:next w:val="Standaard"/>
    <w:autoRedefine/>
    <w:uiPriority w:val="39"/>
    <w:unhideWhenUsed/>
    <w:rsid w:val="001428BF"/>
    <w:pPr>
      <w:spacing w:after="100" w:line="259" w:lineRule="auto"/>
      <w:ind w:left="1100"/>
      <w:jc w:val="left"/>
    </w:pPr>
    <w:rPr>
      <w:rFonts w:eastAsiaTheme="minorEastAsia"/>
      <w:lang w:val="es-ES" w:eastAsia="es-ES"/>
    </w:rPr>
  </w:style>
  <w:style w:type="paragraph" w:styleId="Inhopg7">
    <w:name w:val="toc 7"/>
    <w:basedOn w:val="Standaard"/>
    <w:next w:val="Standaard"/>
    <w:autoRedefine/>
    <w:uiPriority w:val="39"/>
    <w:unhideWhenUsed/>
    <w:rsid w:val="001428BF"/>
    <w:pPr>
      <w:spacing w:after="100" w:line="259" w:lineRule="auto"/>
      <w:ind w:left="1320"/>
      <w:jc w:val="left"/>
    </w:pPr>
    <w:rPr>
      <w:rFonts w:eastAsiaTheme="minorEastAsia"/>
      <w:lang w:val="es-ES" w:eastAsia="es-ES"/>
    </w:rPr>
  </w:style>
  <w:style w:type="paragraph" w:styleId="Inhopg8">
    <w:name w:val="toc 8"/>
    <w:basedOn w:val="Standaard"/>
    <w:next w:val="Standaard"/>
    <w:autoRedefine/>
    <w:uiPriority w:val="39"/>
    <w:unhideWhenUsed/>
    <w:rsid w:val="001428BF"/>
    <w:pPr>
      <w:spacing w:after="100" w:line="259" w:lineRule="auto"/>
      <w:ind w:left="1540"/>
      <w:jc w:val="left"/>
    </w:pPr>
    <w:rPr>
      <w:rFonts w:eastAsiaTheme="minorEastAsia"/>
      <w:lang w:val="es-ES" w:eastAsia="es-ES"/>
    </w:rPr>
  </w:style>
  <w:style w:type="paragraph" w:customStyle="1" w:styleId="Crossreference">
    <w:name w:val="Cross_reference"/>
    <w:basedOn w:val="Standaard"/>
    <w:qFormat/>
    <w:rsid w:val="004B4C84"/>
    <w:pPr>
      <w:numPr>
        <w:numId w:val="2"/>
      </w:numPr>
      <w:shd w:val="clear" w:color="auto" w:fill="D9D9D9" w:themeFill="background1" w:themeFillShade="D9"/>
      <w:tabs>
        <w:tab w:val="clear" w:pos="360"/>
        <w:tab w:val="left" w:pos="397"/>
      </w:tabs>
      <w:spacing w:before="240" w:after="120"/>
      <w:ind w:left="397" w:hanging="397"/>
      <w:jc w:val="left"/>
    </w:pPr>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687">
      <w:bodyDiv w:val="1"/>
      <w:marLeft w:val="0"/>
      <w:marRight w:val="0"/>
      <w:marTop w:val="0"/>
      <w:marBottom w:val="0"/>
      <w:divBdr>
        <w:top w:val="none" w:sz="0" w:space="0" w:color="auto"/>
        <w:left w:val="none" w:sz="0" w:space="0" w:color="auto"/>
        <w:bottom w:val="none" w:sz="0" w:space="0" w:color="auto"/>
        <w:right w:val="none" w:sz="0" w:space="0" w:color="auto"/>
      </w:divBdr>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83785140">
      <w:bodyDiv w:val="1"/>
      <w:marLeft w:val="0"/>
      <w:marRight w:val="0"/>
      <w:marTop w:val="0"/>
      <w:marBottom w:val="0"/>
      <w:divBdr>
        <w:top w:val="none" w:sz="0" w:space="0" w:color="auto"/>
        <w:left w:val="none" w:sz="0" w:space="0" w:color="auto"/>
        <w:bottom w:val="none" w:sz="0" w:space="0" w:color="auto"/>
        <w:right w:val="none" w:sz="0" w:space="0" w:color="auto"/>
      </w:divBdr>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662433">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1125541555">
      <w:bodyDiv w:val="1"/>
      <w:marLeft w:val="0"/>
      <w:marRight w:val="0"/>
      <w:marTop w:val="0"/>
      <w:marBottom w:val="0"/>
      <w:divBdr>
        <w:top w:val="none" w:sz="0" w:space="0" w:color="auto"/>
        <w:left w:val="none" w:sz="0" w:space="0" w:color="auto"/>
        <w:bottom w:val="none" w:sz="0" w:space="0" w:color="auto"/>
        <w:right w:val="none" w:sz="0" w:space="0" w:color="auto"/>
      </w:divBdr>
    </w:div>
    <w:div w:id="13743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ec.europa.eu/growth/single-market/single-digital-gateway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vsdesign.org/publications/pdf/non-scan-vsd-and-information-system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programmes/horizon2020/en/h2020-section/responsible-research-innovation" TargetMode="External"/><Relationship Id="rId20" Type="http://schemas.openxmlformats.org/officeDocument/2006/relationships/hyperlink" Target="https://www.bmi.bund.de/SharedDocs/downloads/EN/eu-presidency/berlin-declaration-digital-society.pdf;jsessionid=16E411E2A284D84BDE5A1956E1439F1D.2_cid364?__blob=publicationFile&amp;v=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oop.e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dps.europa.eu/sites/edp/files/publication/17-08-01_sdg_opinion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group.org/toga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5F36841383904AB2A77C430AACBA92" ma:contentTypeVersion="12" ma:contentTypeDescription="Een nieuw document maken." ma:contentTypeScope="" ma:versionID="35b5cde71dbdd0104d182fe70517fffe">
  <xsd:schema xmlns:xsd="http://www.w3.org/2001/XMLSchema" xmlns:xs="http://www.w3.org/2001/XMLSchema" xmlns:p="http://schemas.microsoft.com/office/2006/metadata/properties" xmlns:ns2="f74cccd5-aef1-4355-ba90-7ccbbe0a3176" xmlns:ns3="d6be308e-b691-4b99-91a6-17e96d886d5c" targetNamespace="http://schemas.microsoft.com/office/2006/metadata/properties" ma:root="true" ma:fieldsID="685c5aad469f18c3780bb7b49b258eec" ns2:_="" ns3:_="">
    <xsd:import namespace="f74cccd5-aef1-4355-ba90-7ccbbe0a3176"/>
    <xsd:import namespace="d6be308e-b691-4b99-91a6-17e96d886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ccd5-aef1-4355-ba90-7ccbbe0a3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e308e-b691-4b99-91a6-17e96d886d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0A04B-66BA-4936-8CA2-2105B2B1F87D}">
  <ds:schemaRefs>
    <ds:schemaRef ds:uri="http://schemas.openxmlformats.org/officeDocument/2006/bibliography"/>
  </ds:schemaRefs>
</ds:datastoreItem>
</file>

<file path=customXml/itemProps3.xml><?xml version="1.0" encoding="utf-8"?>
<ds:datastoreItem xmlns:ds="http://schemas.openxmlformats.org/officeDocument/2006/customXml" ds:itemID="{85A43AAF-2504-4267-B3CA-A905B37EBDA1}">
  <ds:schemaRefs>
    <ds:schemaRef ds:uri="http://schemas.microsoft.com/sharepoint/v3/contenttype/forms"/>
  </ds:schemaRefs>
</ds:datastoreItem>
</file>

<file path=customXml/itemProps4.xml><?xml version="1.0" encoding="utf-8"?>
<ds:datastoreItem xmlns:ds="http://schemas.openxmlformats.org/officeDocument/2006/customXml" ds:itemID="{E1C384C4-99C8-4701-973E-2D9134FA145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30FCBD-FDED-47B0-ADE2-41ACAEB7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cccd5-aef1-4355-ba90-7ccbbe0a3176"/>
    <ds:schemaRef ds:uri="d6be308e-b691-4b99-91a6-17e96d886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6186</Words>
  <Characters>34026</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2020-06-04T15:24:00Z</dcterms:created>
  <dcterms:modified xsi:type="dcterms:W3CDTF">2021-09-29T14:26:00Z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julia.wells@atos.net</vt:lpwstr>
  </property>
  <property fmtid="{D5CDD505-2E9C-101B-9397-08002B2CF9AE}" pid="5" name="MSIP_Label_112e00b9-34e2-4b26-a577-af1fd0f9f7ee_SetDate">
    <vt:lpwstr>2020-12-16T09:04:19.0604450Z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e56655aa-3cae-4d4b-b208-ca97ba0e950d</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julia.wells@atos.net</vt:lpwstr>
  </property>
  <property fmtid="{D5CDD505-2E9C-101B-9397-08002B2CF9AE}" pid="13" name="MSIP_Label_e463cba9-5f6c-478d-9329-7b2295e4e8ed_SetDate">
    <vt:lpwstr>2020-12-16T09:04:19.0604450Z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e56655aa-3cae-4d4b-b208-ca97ba0e950d</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0x010100DF5F36841383904AB2A77C430AACBA92</vt:lpwstr>
  </property>
</Properties>
</file>